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Look w:val="04A0" w:firstRow="1" w:lastRow="0" w:firstColumn="1" w:lastColumn="0" w:noHBand="0" w:noVBand="1"/>
      </w:tblPr>
      <w:tblGrid>
        <w:gridCol w:w="2263"/>
        <w:gridCol w:w="5387"/>
        <w:gridCol w:w="1984"/>
      </w:tblGrid>
      <w:tr w:rsidR="0041512A" w14:paraId="2D184E33" w14:textId="77777777" w:rsidTr="00536FD7">
        <w:tc>
          <w:tcPr>
            <w:tcW w:w="2263" w:type="dxa"/>
          </w:tcPr>
          <w:p w14:paraId="26431650" w14:textId="66FEF8F8" w:rsidR="0041512A" w:rsidRDefault="00301B95" w:rsidP="0041512A">
            <w:pPr>
              <w:spacing w:before="120" w:after="120"/>
            </w:pPr>
            <w:r>
              <w:rPr>
                <w:color w:val="auto"/>
                <w:u w:val="none"/>
              </w:rPr>
              <w:fldChar w:fldCharType="begin"/>
            </w:r>
            <w:r>
              <w:instrText xml:space="preserve"> HYPERLINK "file:///C:\\Walter\\sportello%20unico\\Progetto%20PUC\\PROCEDIMENTI\\PROCEDIMENTI.docx" </w:instrText>
            </w:r>
            <w:r>
              <w:rPr>
                <w:color w:val="auto"/>
                <w:u w:val="none"/>
              </w:rPr>
              <w:fldChar w:fldCharType="separate"/>
            </w:r>
            <w:r w:rsidR="000B4866">
              <w:rPr>
                <w:rStyle w:val="Collegamentoipertestuale"/>
                <w:b/>
              </w:rPr>
              <w:t>Procedimenti</w:t>
            </w:r>
            <w:r>
              <w:rPr>
                <w:rStyle w:val="Collegamentoipertestuale"/>
                <w:b/>
              </w:rPr>
              <w:fldChar w:fldCharType="end"/>
            </w:r>
          </w:p>
        </w:tc>
        <w:tc>
          <w:tcPr>
            <w:tcW w:w="5387" w:type="dxa"/>
          </w:tcPr>
          <w:p w14:paraId="76BBBCFF" w14:textId="77777777" w:rsidR="0041512A" w:rsidRDefault="002D46C2" w:rsidP="008F77D3">
            <w:pPr>
              <w:jc w:val="center"/>
            </w:pPr>
            <w:r>
              <w:rPr>
                <w:b/>
                <w:color w:val="006600"/>
                <w:sz w:val="40"/>
                <w:szCs w:val="40"/>
                <w:u w:val="none"/>
              </w:rPr>
              <w:t>Sorte locali</w:t>
            </w:r>
          </w:p>
        </w:tc>
        <w:tc>
          <w:tcPr>
            <w:tcW w:w="1984" w:type="dxa"/>
          </w:tcPr>
          <w:p w14:paraId="1B4E7CD9" w14:textId="5A2E90F3" w:rsidR="0041512A" w:rsidRPr="0041512A" w:rsidRDefault="00CF31C6" w:rsidP="0041512A">
            <w:pPr>
              <w:spacing w:before="120" w:after="120"/>
              <w:jc w:val="center"/>
              <w:rPr>
                <w:b/>
              </w:rPr>
            </w:pPr>
            <w:hyperlink r:id="rId5" w:history="1">
              <w:r w:rsidR="00301B95" w:rsidRPr="002F49AE">
                <w:rPr>
                  <w:rStyle w:val="Collegamentoipertestuale"/>
                  <w:b/>
                </w:rPr>
                <w:t>Contatti</w:t>
              </w:r>
            </w:hyperlink>
          </w:p>
        </w:tc>
      </w:tr>
      <w:tr w:rsidR="00342D58" w14:paraId="2270011B" w14:textId="77777777" w:rsidTr="00536FD7">
        <w:tc>
          <w:tcPr>
            <w:tcW w:w="9634" w:type="dxa"/>
            <w:gridSpan w:val="3"/>
          </w:tcPr>
          <w:p w14:paraId="187CCB4E" w14:textId="619237B8" w:rsidR="00A81D46" w:rsidRPr="004D75FA" w:rsidRDefault="004D75FA" w:rsidP="00A81D46">
            <w:pPr>
              <w:spacing w:before="240" w:after="120"/>
              <w:ind w:left="164"/>
              <w:rPr>
                <w:rStyle w:val="Collegamentoipertestuale"/>
                <w:b/>
                <w:color w:val="C00000"/>
                <w:u w:val="none"/>
              </w:rPr>
            </w:pPr>
            <w:r w:rsidRPr="004D75FA">
              <w:rPr>
                <w:rStyle w:val="Collegamentoipertestuale"/>
                <w:b/>
                <w:color w:val="C00000"/>
                <w:u w:val="none"/>
              </w:rPr>
              <w:t>Definizione</w:t>
            </w:r>
          </w:p>
          <w:p w14:paraId="06901B79" w14:textId="675095D4" w:rsidR="002D46C2" w:rsidRPr="00DC2075" w:rsidRDefault="002D46C2" w:rsidP="002D46C2">
            <w:pPr>
              <w:spacing w:after="120" w:line="270" w:lineRule="atLeast"/>
              <w:ind w:left="174" w:right="312"/>
              <w:jc w:val="both"/>
              <w:rPr>
                <w:color w:val="auto"/>
                <w:sz w:val="20"/>
                <w:szCs w:val="20"/>
                <w:u w:val="none"/>
              </w:rPr>
            </w:pPr>
            <w:r w:rsidRPr="00DC2075">
              <w:rPr>
                <w:rStyle w:val="provvnumart1"/>
                <w:color w:val="auto"/>
                <w:sz w:val="20"/>
                <w:szCs w:val="20"/>
                <w:u w:val="none"/>
              </w:rPr>
              <w:t xml:space="preserve">Sono iniziative promosse da </w:t>
            </w:r>
            <w:r w:rsidRPr="00DC2075">
              <w:rPr>
                <w:color w:val="auto"/>
                <w:sz w:val="20"/>
                <w:szCs w:val="20"/>
                <w:u w:val="none"/>
              </w:rPr>
              <w:t xml:space="preserve">comitati ed associazioni senza finalità lucrative, per la raccolta di fondi, nelle quali pongono la sorte come momento premiante. </w:t>
            </w:r>
          </w:p>
          <w:p w14:paraId="617AA3E8" w14:textId="77777777" w:rsidR="002D46C2" w:rsidRPr="004819DE" w:rsidRDefault="002D46C2" w:rsidP="002D46C2">
            <w:pPr>
              <w:spacing w:after="120"/>
              <w:ind w:left="174" w:right="312"/>
              <w:jc w:val="both"/>
              <w:rPr>
                <w:color w:val="auto"/>
                <w:sz w:val="20"/>
                <w:szCs w:val="20"/>
                <w:u w:val="none"/>
              </w:rPr>
            </w:pPr>
            <w:r w:rsidRPr="004819DE">
              <w:rPr>
                <w:color w:val="auto"/>
                <w:sz w:val="20"/>
                <w:szCs w:val="20"/>
                <w:u w:val="none"/>
              </w:rPr>
              <w:t>Le iniziative di sorti locale si distinguono in:</w:t>
            </w:r>
          </w:p>
          <w:p w14:paraId="38EEE8E7" w14:textId="77777777" w:rsidR="002D46C2" w:rsidRPr="004819DE" w:rsidRDefault="002D46C2" w:rsidP="002D46C2">
            <w:pPr>
              <w:pStyle w:val="provvr11"/>
              <w:spacing w:before="120" w:beforeAutospacing="0" w:after="120" w:afterAutospacing="0"/>
              <w:ind w:left="174" w:right="312" w:firstLine="0"/>
              <w:rPr>
                <w:rFonts w:ascii="Arial" w:hAnsi="Arial" w:cs="Arial"/>
                <w:color w:val="auto"/>
                <w:sz w:val="20"/>
                <w:szCs w:val="20"/>
                <w:u w:val="none"/>
              </w:rPr>
            </w:pPr>
            <w:r w:rsidRPr="004819DE">
              <w:rPr>
                <w:rFonts w:ascii="Arial" w:hAnsi="Arial" w:cs="Arial"/>
                <w:b/>
                <w:color w:val="FF0000"/>
                <w:sz w:val="20"/>
                <w:szCs w:val="20"/>
                <w:u w:val="none"/>
              </w:rPr>
              <w:t>Lotteria</w:t>
            </w:r>
            <w:r w:rsidRPr="004819DE">
              <w:rPr>
                <w:rFonts w:ascii="Arial" w:hAnsi="Arial" w:cs="Arial"/>
                <w:color w:val="auto"/>
                <w:sz w:val="20"/>
                <w:szCs w:val="20"/>
                <w:u w:val="none"/>
              </w:rPr>
              <w:t xml:space="preserve"> - s'intende la manifestazione di sorte effettuata con la vendita di biglietti staccati da registri a matrice, concorrenti ad uno o più premi secondo l'ordine di estrazione. La lotteria è consentita se la vendita dei biglietti è limitata al territorio della provincia, l'importo complessivo dei biglietti che possono emettersi, comunque sia frazionato il prezzo degli stessi, non supera la somma di euro 51.645,69, e i biglietti sono contrassegnati da serie e numerazione progressive; </w:t>
            </w:r>
          </w:p>
          <w:p w14:paraId="4069B5CB" w14:textId="77777777" w:rsidR="002D46C2" w:rsidRPr="004819DE" w:rsidRDefault="002D46C2" w:rsidP="002D46C2">
            <w:pPr>
              <w:pStyle w:val="provvr11"/>
              <w:spacing w:before="120" w:beforeAutospacing="0" w:after="120" w:afterAutospacing="0"/>
              <w:ind w:left="174" w:right="312" w:firstLine="0"/>
              <w:rPr>
                <w:rFonts w:ascii="Arial" w:hAnsi="Arial" w:cs="Arial"/>
                <w:color w:val="auto"/>
                <w:sz w:val="20"/>
                <w:szCs w:val="20"/>
                <w:u w:val="none"/>
              </w:rPr>
            </w:pPr>
            <w:r w:rsidRPr="004819DE">
              <w:rPr>
                <w:rFonts w:ascii="Arial" w:hAnsi="Arial" w:cs="Arial"/>
                <w:b/>
                <w:color w:val="FF0000"/>
                <w:sz w:val="20"/>
                <w:szCs w:val="20"/>
                <w:u w:val="none"/>
              </w:rPr>
              <w:t>Tombola</w:t>
            </w:r>
            <w:r w:rsidRPr="004819DE">
              <w:rPr>
                <w:rFonts w:ascii="Arial" w:hAnsi="Arial" w:cs="Arial"/>
                <w:color w:val="auto"/>
                <w:sz w:val="20"/>
                <w:szCs w:val="20"/>
                <w:u w:val="none"/>
              </w:rPr>
              <w:t xml:space="preserve"> - s'intende la manifestazione di sorte effettuata con l'utilizzo di cartelle portanti una data quantità di numeri, dal numero 1 al 90, con premi assegnati alle cartelle nelle quali, all'estrazione dei numeri, per prime si sono verificate le combinazioni stabilite. La tombola è consentita se la vendita delle cartelle è limitata al comune in cui la tombola si estrae e ai comuni limitrofi e le cartelle sono contrassegnate da serie e numerazione progressiva. Non è limitato il numero delle cartelle che si possono emettere per ogni tombola, ma i premi posti in palio non devono superare, complessivamente, la somma di euro 12.911,42; </w:t>
            </w:r>
          </w:p>
          <w:p w14:paraId="326FF85A" w14:textId="77777777" w:rsidR="002D46C2" w:rsidRPr="004819DE" w:rsidRDefault="002D46C2" w:rsidP="004D75FA">
            <w:pPr>
              <w:pStyle w:val="Paragrafoelenco"/>
              <w:ind w:left="174" w:right="312"/>
              <w:jc w:val="both"/>
              <w:rPr>
                <w:color w:val="auto"/>
                <w:sz w:val="20"/>
                <w:szCs w:val="20"/>
                <w:u w:val="none"/>
              </w:rPr>
            </w:pPr>
            <w:r w:rsidRPr="004819DE">
              <w:rPr>
                <w:b/>
                <w:color w:val="FF0000"/>
                <w:sz w:val="20"/>
                <w:szCs w:val="20"/>
                <w:u w:val="none"/>
              </w:rPr>
              <w:t>Pesche o banchi di beneficenza</w:t>
            </w:r>
            <w:r w:rsidRPr="004819DE">
              <w:rPr>
                <w:color w:val="FF0000"/>
                <w:sz w:val="20"/>
                <w:szCs w:val="20"/>
                <w:u w:val="none"/>
              </w:rPr>
              <w:t xml:space="preserve"> </w:t>
            </w:r>
            <w:r w:rsidRPr="004819DE">
              <w:rPr>
                <w:color w:val="auto"/>
                <w:sz w:val="20"/>
                <w:szCs w:val="20"/>
                <w:u w:val="none"/>
              </w:rPr>
              <w:t xml:space="preserve">- s'intendono le manifestazioni di sorte effettuate con vendita di   biglietti, le quali, per la loro organizzazione, non si prestano per la emissione dei biglietti a matrice, una parte dei quali è abbinata ai premi in palio. Le pesche o i banchi di beneficenza sono consentiti se la vendita dei biglietti è limitata al territorio del comune ove si effettua la manifestazione e il ricavato di essa non eccede la somma di euro 51.645,69.  </w:t>
            </w:r>
          </w:p>
          <w:p w14:paraId="0C9752BD" w14:textId="77777777" w:rsidR="00536FD7" w:rsidRPr="004D75FA" w:rsidRDefault="00536FD7" w:rsidP="00536FD7">
            <w:pPr>
              <w:ind w:left="174"/>
              <w:rPr>
                <w:b/>
                <w:color w:val="C00000"/>
                <w:u w:val="none"/>
              </w:rPr>
            </w:pPr>
          </w:p>
          <w:p w14:paraId="244DDF6C" w14:textId="77777777" w:rsidR="00E60E0A" w:rsidRPr="004D75FA" w:rsidRDefault="002D46C2" w:rsidP="00E60E0A">
            <w:pPr>
              <w:spacing w:after="120"/>
              <w:ind w:left="174"/>
              <w:jc w:val="both"/>
              <w:rPr>
                <w:b/>
                <w:color w:val="C00000"/>
                <w:u w:val="none"/>
              </w:rPr>
            </w:pPr>
            <w:r w:rsidRPr="004D75FA">
              <w:rPr>
                <w:rStyle w:val="Collegamentoipertestuale"/>
                <w:b/>
                <w:color w:val="C00000"/>
                <w:u w:val="none"/>
              </w:rPr>
              <w:t>Modalità di svolgimento</w:t>
            </w:r>
          </w:p>
          <w:p w14:paraId="5A810601" w14:textId="43EE6134" w:rsidR="002D46C2" w:rsidRPr="002D46C2" w:rsidRDefault="002D46C2" w:rsidP="000406C1">
            <w:pPr>
              <w:spacing w:before="120" w:after="120"/>
              <w:ind w:left="174" w:right="318"/>
              <w:jc w:val="both"/>
              <w:rPr>
                <w:color w:val="auto"/>
                <w:sz w:val="20"/>
                <w:szCs w:val="20"/>
                <w:u w:val="none"/>
              </w:rPr>
            </w:pPr>
            <w:r w:rsidRPr="002D46C2">
              <w:rPr>
                <w:b/>
                <w:color w:val="FF0000"/>
                <w:sz w:val="20"/>
                <w:szCs w:val="20"/>
                <w:u w:val="none"/>
              </w:rPr>
              <w:t>Prima della comunicazione</w:t>
            </w:r>
            <w:r w:rsidRPr="002D46C2">
              <w:rPr>
                <w:color w:val="FF0000"/>
                <w:sz w:val="20"/>
                <w:szCs w:val="20"/>
                <w:u w:val="none"/>
              </w:rPr>
              <w:t xml:space="preserve"> </w:t>
            </w:r>
            <w:r w:rsidRPr="002D46C2">
              <w:rPr>
                <w:b/>
                <w:color w:val="FF0000"/>
                <w:sz w:val="20"/>
                <w:szCs w:val="20"/>
                <w:u w:val="none"/>
              </w:rPr>
              <w:t>al Comune e Prefetto,</w:t>
            </w:r>
            <w:r w:rsidRPr="002D46C2">
              <w:rPr>
                <w:color w:val="FF0000"/>
                <w:sz w:val="20"/>
                <w:szCs w:val="20"/>
                <w:u w:val="none"/>
              </w:rPr>
              <w:t xml:space="preserve"> </w:t>
            </w:r>
            <w:r w:rsidRPr="002D46C2">
              <w:rPr>
                <w:color w:val="auto"/>
                <w:sz w:val="20"/>
                <w:szCs w:val="20"/>
                <w:u w:val="none"/>
              </w:rPr>
              <w:t xml:space="preserve">occorre </w:t>
            </w:r>
            <w:r w:rsidRPr="002D46C2">
              <w:rPr>
                <w:bCs/>
                <w:color w:val="auto"/>
                <w:sz w:val="20"/>
                <w:szCs w:val="20"/>
                <w:u w:val="none"/>
              </w:rPr>
              <w:t xml:space="preserve">comunicare l'effettuazione della manifestazione di sorte locali </w:t>
            </w:r>
            <w:r w:rsidRPr="002D46C2">
              <w:rPr>
                <w:b/>
                <w:bCs/>
                <w:color w:val="auto"/>
                <w:sz w:val="20"/>
                <w:szCs w:val="20"/>
                <w:u w:val="none"/>
              </w:rPr>
              <w:t>all’Agenzia delle Dogane e dei Monopoli (ADM).</w:t>
            </w:r>
            <w:r w:rsidRPr="002D46C2">
              <w:rPr>
                <w:bCs/>
                <w:color w:val="auto"/>
                <w:sz w:val="20"/>
                <w:szCs w:val="20"/>
                <w:u w:val="none"/>
              </w:rPr>
              <w:t xml:space="preserve"> </w:t>
            </w:r>
            <w:r w:rsidRPr="002D46C2">
              <w:rPr>
                <w:color w:val="auto"/>
                <w:sz w:val="20"/>
                <w:szCs w:val="20"/>
                <w:u w:val="none"/>
              </w:rPr>
              <w:t xml:space="preserve">La </w:t>
            </w:r>
            <w:proofErr w:type="gramStart"/>
            <w:r w:rsidRPr="002D46C2">
              <w:rPr>
                <w:color w:val="auto"/>
                <w:sz w:val="20"/>
                <w:szCs w:val="20"/>
                <w:u w:val="none"/>
              </w:rPr>
              <w:t>predetta</w:t>
            </w:r>
            <w:proofErr w:type="gramEnd"/>
            <w:r w:rsidRPr="002D46C2">
              <w:rPr>
                <w:color w:val="auto"/>
                <w:sz w:val="20"/>
                <w:szCs w:val="20"/>
                <w:u w:val="none"/>
              </w:rPr>
              <w:t xml:space="preserve"> comunicazione, per il rilascio del prescritto nulla-osta, deve essere redatta facendo uso </w:t>
            </w:r>
            <w:hyperlink r:id="rId6" w:history="1">
              <w:r w:rsidRPr="002D46C2">
                <w:rPr>
                  <w:rStyle w:val="Collegamentoipertestuale"/>
                  <w:b/>
                  <w:sz w:val="20"/>
                  <w:szCs w:val="20"/>
                  <w:u w:val="none"/>
                </w:rPr>
                <w:t>dell’apposito mod</w:t>
              </w:r>
              <w:r w:rsidRPr="002D46C2">
                <w:rPr>
                  <w:rStyle w:val="Collegamentoipertestuale"/>
                  <w:b/>
                  <w:sz w:val="20"/>
                  <w:szCs w:val="20"/>
                  <w:u w:val="none"/>
                </w:rPr>
                <w:t>u</w:t>
              </w:r>
              <w:r w:rsidRPr="002D46C2">
                <w:rPr>
                  <w:rStyle w:val="Collegamentoipertestuale"/>
                  <w:b/>
                  <w:sz w:val="20"/>
                  <w:szCs w:val="20"/>
                  <w:u w:val="none"/>
                </w:rPr>
                <w:t>lo</w:t>
              </w:r>
            </w:hyperlink>
            <w:r w:rsidRPr="002D46C2">
              <w:rPr>
                <w:rStyle w:val="Collegamentoipertestuale"/>
                <w:b/>
                <w:sz w:val="20"/>
                <w:szCs w:val="20"/>
                <w:u w:val="none"/>
              </w:rPr>
              <w:t xml:space="preserve"> </w:t>
            </w:r>
            <w:r w:rsidRPr="002D46C2">
              <w:rPr>
                <w:rStyle w:val="Collegamentoipertestuale"/>
                <w:color w:val="auto"/>
                <w:sz w:val="20"/>
                <w:szCs w:val="20"/>
                <w:u w:val="none"/>
              </w:rPr>
              <w:t>ed inoltrato per raccomandata o PEC.</w:t>
            </w:r>
            <w:r w:rsidRPr="002D46C2">
              <w:rPr>
                <w:color w:val="auto"/>
                <w:sz w:val="20"/>
                <w:szCs w:val="20"/>
                <w:u w:val="none"/>
              </w:rPr>
              <w:t xml:space="preserve"> </w:t>
            </w:r>
          </w:p>
          <w:p w14:paraId="22D0310D" w14:textId="77777777" w:rsidR="002D46C2" w:rsidRPr="002D46C2" w:rsidRDefault="002D46C2" w:rsidP="000406C1">
            <w:pPr>
              <w:spacing w:after="120"/>
              <w:ind w:left="174" w:right="318"/>
              <w:jc w:val="both"/>
              <w:rPr>
                <w:color w:val="auto"/>
                <w:sz w:val="20"/>
                <w:szCs w:val="20"/>
                <w:u w:val="none"/>
              </w:rPr>
            </w:pPr>
            <w:r w:rsidRPr="002D46C2">
              <w:rPr>
                <w:color w:val="auto"/>
                <w:sz w:val="20"/>
                <w:szCs w:val="20"/>
                <w:u w:val="none"/>
              </w:rPr>
              <w:t>Decorsi 30 giorni dalla ricezione della comunicazione da parte dell'ADM senza l'emissione di un provvedimento espresso, il nulla-osta si intende comunque rilasciato. Entro lo stesso termine l'ADM può espressamente subordinare il rilascio del nulla-osta all'ottemperanza di specifiche prescrizioni, ovvero comunicarne il diniego.</w:t>
            </w:r>
          </w:p>
          <w:p w14:paraId="27F68DA6" w14:textId="0D13BE67" w:rsidR="002D46C2" w:rsidRPr="002D46C2" w:rsidRDefault="002D46C2" w:rsidP="000406C1">
            <w:pPr>
              <w:spacing w:after="120"/>
              <w:ind w:left="174" w:right="318"/>
              <w:jc w:val="both"/>
              <w:rPr>
                <w:color w:val="auto"/>
                <w:sz w:val="20"/>
                <w:szCs w:val="20"/>
                <w:u w:val="none"/>
              </w:rPr>
            </w:pPr>
            <w:r w:rsidRPr="002D46C2">
              <w:rPr>
                <w:color w:val="auto"/>
                <w:sz w:val="20"/>
                <w:szCs w:val="20"/>
                <w:u w:val="none"/>
              </w:rPr>
              <w:t>Per</w:t>
            </w:r>
            <w:r w:rsidRPr="002D46C2">
              <w:rPr>
                <w:bCs/>
                <w:color w:val="auto"/>
                <w:sz w:val="20"/>
                <w:szCs w:val="20"/>
                <w:u w:val="none"/>
              </w:rPr>
              <w:t xml:space="preserve"> dar corso alla manifestazione, occorre inviare, almeno 30 giorni prima dello svolgimento, una comunicazione al SUAP ed al Prefetto</w:t>
            </w:r>
            <w:r w:rsidRPr="002D46C2">
              <w:rPr>
                <w:color w:val="auto"/>
                <w:sz w:val="20"/>
                <w:szCs w:val="20"/>
                <w:u w:val="none"/>
              </w:rPr>
              <w:t xml:space="preserve"> mediante lo sportello telematico </w:t>
            </w:r>
            <w:hyperlink r:id="rId7" w:history="1">
              <w:hyperlink r:id="rId8" w:history="1">
                <w:r w:rsidR="006F5C4D">
                  <w:rPr>
                    <w:rStyle w:val="Collegamentoipertestuale"/>
                    <w:b/>
                    <w:sz w:val="20"/>
                    <w:szCs w:val="20"/>
                  </w:rPr>
                  <w:t>Impresainungiorno.gov.it</w:t>
                </w:r>
              </w:hyperlink>
              <w:r w:rsidRPr="007944EB">
                <w:rPr>
                  <w:rStyle w:val="Collegamentoipertestuale"/>
                  <w:b/>
                  <w:sz w:val="20"/>
                  <w:szCs w:val="20"/>
                  <w:u w:val="none"/>
                </w:rPr>
                <w:t xml:space="preserve"> </w:t>
              </w:r>
              <w:r w:rsidRPr="002D46C2">
                <w:rPr>
                  <w:rStyle w:val="Collegamentoipertestuale"/>
                  <w:color w:val="auto"/>
                  <w:sz w:val="20"/>
                  <w:szCs w:val="20"/>
                  <w:u w:val="none"/>
                </w:rPr>
                <w:t xml:space="preserve"> </w:t>
              </w:r>
            </w:hyperlink>
            <w:r w:rsidRPr="002D46C2">
              <w:rPr>
                <w:color w:val="auto"/>
                <w:sz w:val="20"/>
                <w:szCs w:val="20"/>
                <w:u w:val="none"/>
              </w:rPr>
              <w:t xml:space="preserve"> </w:t>
            </w:r>
          </w:p>
          <w:p w14:paraId="38A4EF8C" w14:textId="4A07BD2F" w:rsidR="002D46C2" w:rsidRPr="002D46C2" w:rsidRDefault="002D46C2" w:rsidP="000406C1">
            <w:pPr>
              <w:spacing w:after="120"/>
              <w:ind w:left="174" w:right="318"/>
              <w:jc w:val="both"/>
              <w:rPr>
                <w:b/>
                <w:color w:val="auto"/>
                <w:sz w:val="20"/>
                <w:szCs w:val="20"/>
                <w:u w:val="none"/>
              </w:rPr>
            </w:pPr>
            <w:r w:rsidRPr="002D46C2">
              <w:rPr>
                <w:color w:val="auto"/>
                <w:sz w:val="20"/>
                <w:szCs w:val="20"/>
                <w:u w:val="none"/>
              </w:rPr>
              <w:t xml:space="preserve">Ad accesso avvenuto, procedere selezionando: </w:t>
            </w:r>
            <w:r w:rsidR="00E44D6C">
              <w:rPr>
                <w:b/>
                <w:color w:val="auto"/>
                <w:sz w:val="20"/>
                <w:szCs w:val="20"/>
                <w:u w:val="none"/>
              </w:rPr>
              <w:t xml:space="preserve">Intrattenimento, Divertimento, Attività artistiche e Sportive </w:t>
            </w:r>
            <w:r w:rsidR="004D75FA">
              <w:rPr>
                <w:b/>
                <w:color w:val="auto"/>
                <w:sz w:val="20"/>
                <w:szCs w:val="20"/>
                <w:u w:val="none"/>
              </w:rPr>
              <w:t xml:space="preserve">(Ateco da 90 a 93) </w:t>
            </w:r>
            <w:r w:rsidR="00E44D6C">
              <w:rPr>
                <w:b/>
                <w:color w:val="auto"/>
                <w:sz w:val="20"/>
                <w:szCs w:val="20"/>
                <w:u w:val="none"/>
              </w:rPr>
              <w:t xml:space="preserve">+ Lotterie, Scommesse, Casa da gioco </w:t>
            </w:r>
            <w:r w:rsidRPr="002D46C2">
              <w:rPr>
                <w:b/>
                <w:color w:val="auto"/>
                <w:sz w:val="20"/>
                <w:szCs w:val="20"/>
                <w:u w:val="none"/>
              </w:rPr>
              <w:t>+</w:t>
            </w:r>
            <w:r w:rsidR="00E44D6C">
              <w:rPr>
                <w:b/>
                <w:color w:val="auto"/>
                <w:sz w:val="20"/>
                <w:szCs w:val="20"/>
                <w:u w:val="none"/>
              </w:rPr>
              <w:t xml:space="preserve"> </w:t>
            </w:r>
            <w:r w:rsidR="00E44D6C" w:rsidRPr="00E44D6C">
              <w:rPr>
                <w:b/>
                <w:bCs/>
                <w:color w:val="000000"/>
                <w:sz w:val="20"/>
                <w:szCs w:val="20"/>
                <w:u w:val="none"/>
              </w:rPr>
              <w:t>Sorte locali: lotterie/tombole/pesche o banchi di beneficenza</w:t>
            </w:r>
            <w:r w:rsidRPr="002D46C2">
              <w:rPr>
                <w:b/>
                <w:color w:val="auto"/>
                <w:sz w:val="20"/>
                <w:szCs w:val="20"/>
                <w:u w:val="none"/>
              </w:rPr>
              <w:t xml:space="preserve">, </w:t>
            </w:r>
            <w:r w:rsidRPr="002D46C2">
              <w:rPr>
                <w:color w:val="auto"/>
                <w:sz w:val="20"/>
                <w:szCs w:val="20"/>
                <w:u w:val="none"/>
              </w:rPr>
              <w:t>digitare</w:t>
            </w:r>
            <w:r w:rsidRPr="002D46C2">
              <w:rPr>
                <w:b/>
                <w:color w:val="auto"/>
                <w:sz w:val="20"/>
                <w:szCs w:val="20"/>
                <w:u w:val="none"/>
              </w:rPr>
              <w:t xml:space="preserve"> </w:t>
            </w:r>
            <w:r w:rsidRPr="002D46C2">
              <w:rPr>
                <w:color w:val="auto"/>
                <w:sz w:val="20"/>
                <w:szCs w:val="20"/>
                <w:u w:val="none"/>
              </w:rPr>
              <w:t>conferma e</w:t>
            </w:r>
            <w:r w:rsidRPr="002D46C2">
              <w:rPr>
                <w:b/>
                <w:color w:val="auto"/>
                <w:sz w:val="20"/>
                <w:szCs w:val="20"/>
                <w:u w:val="none"/>
              </w:rPr>
              <w:t xml:space="preserve"> </w:t>
            </w:r>
            <w:r w:rsidRPr="002D46C2">
              <w:rPr>
                <w:color w:val="auto"/>
                <w:sz w:val="20"/>
                <w:szCs w:val="20"/>
                <w:u w:val="none"/>
              </w:rPr>
              <w:t>a seguire premere</w:t>
            </w:r>
            <w:r w:rsidRPr="002D46C2">
              <w:rPr>
                <w:b/>
                <w:color w:val="auto"/>
                <w:sz w:val="20"/>
                <w:szCs w:val="20"/>
                <w:u w:val="none"/>
              </w:rPr>
              <w:t xml:space="preserve"> Avvio, gestione, cessazione attività + Comunicare lo svolgimento di manifestazione di sorte locali + Comunicare al Prefetto e al Comune lo svolgimento di manifestazioni di sorte locali.</w:t>
            </w:r>
          </w:p>
          <w:p w14:paraId="2A86AA53" w14:textId="77777777" w:rsidR="002D46C2" w:rsidRPr="002D46C2" w:rsidRDefault="002D46C2" w:rsidP="000406C1">
            <w:pPr>
              <w:pStyle w:val="provvr01"/>
              <w:spacing w:before="0" w:beforeAutospacing="0" w:after="120" w:afterAutospacing="0"/>
              <w:ind w:left="174" w:right="318"/>
              <w:rPr>
                <w:rFonts w:ascii="Arial" w:hAnsi="Arial" w:cs="Arial"/>
                <w:color w:val="auto"/>
                <w:sz w:val="20"/>
                <w:szCs w:val="20"/>
                <w:u w:val="none"/>
              </w:rPr>
            </w:pPr>
            <w:r w:rsidRPr="002D46C2">
              <w:rPr>
                <w:rFonts w:ascii="Arial" w:hAnsi="Arial" w:cs="Arial"/>
                <w:color w:val="auto"/>
                <w:sz w:val="20"/>
                <w:szCs w:val="20"/>
                <w:u w:val="none"/>
              </w:rPr>
              <w:t xml:space="preserve">Alla comunicazione va allegata la seguente documentazione: </w:t>
            </w:r>
          </w:p>
          <w:p w14:paraId="0B40EB2D" w14:textId="77777777" w:rsidR="002D46C2" w:rsidRPr="002D46C2" w:rsidRDefault="002D46C2" w:rsidP="000406C1">
            <w:pPr>
              <w:pStyle w:val="provvr01"/>
              <w:numPr>
                <w:ilvl w:val="0"/>
                <w:numId w:val="27"/>
              </w:numPr>
              <w:tabs>
                <w:tab w:val="clear" w:pos="720"/>
              </w:tabs>
              <w:spacing w:before="0" w:beforeAutospacing="0" w:after="120" w:afterAutospacing="0"/>
              <w:ind w:left="599" w:right="318"/>
              <w:rPr>
                <w:rFonts w:ascii="Arial" w:hAnsi="Arial" w:cs="Arial"/>
                <w:color w:val="auto"/>
                <w:sz w:val="20"/>
                <w:szCs w:val="20"/>
                <w:u w:val="none"/>
              </w:rPr>
            </w:pPr>
            <w:r w:rsidRPr="002D46C2">
              <w:rPr>
                <w:rFonts w:ascii="Arial" w:hAnsi="Arial" w:cs="Arial"/>
                <w:b/>
                <w:color w:val="FF0000"/>
                <w:sz w:val="20"/>
                <w:szCs w:val="20"/>
                <w:u w:val="none"/>
              </w:rPr>
              <w:t>per le lotterie</w:t>
            </w:r>
            <w:r w:rsidRPr="002D46C2">
              <w:rPr>
                <w:rFonts w:ascii="Arial" w:hAnsi="Arial" w:cs="Arial"/>
                <w:color w:val="FF0000"/>
                <w:sz w:val="20"/>
                <w:szCs w:val="20"/>
                <w:u w:val="none"/>
              </w:rPr>
              <w:t>,</w:t>
            </w:r>
            <w:r w:rsidRPr="002D46C2">
              <w:rPr>
                <w:rFonts w:ascii="Arial" w:hAnsi="Arial" w:cs="Arial"/>
                <w:color w:val="auto"/>
                <w:sz w:val="20"/>
                <w:szCs w:val="20"/>
                <w:u w:val="none"/>
              </w:rPr>
              <w:t xml:space="preserve"> il regolamento nel quale sono indicati la quantità e la natura dei premi, la quantità ed il prezzo dei biglietti da vendere, il luogo in cui vengono esposti i premi, il luogo ed il tempo fissati per l'estrazione e la consegna dei premi ai vincitori;</w:t>
            </w:r>
          </w:p>
          <w:p w14:paraId="548AD997" w14:textId="77777777" w:rsidR="002D46C2" w:rsidRPr="002D46C2" w:rsidRDefault="002D46C2" w:rsidP="000406C1">
            <w:pPr>
              <w:pStyle w:val="provvr01"/>
              <w:numPr>
                <w:ilvl w:val="0"/>
                <w:numId w:val="27"/>
              </w:numPr>
              <w:tabs>
                <w:tab w:val="clear" w:pos="720"/>
              </w:tabs>
              <w:spacing w:before="0" w:beforeAutospacing="0" w:after="120" w:afterAutospacing="0"/>
              <w:ind w:left="599" w:right="318"/>
              <w:rPr>
                <w:rFonts w:ascii="Arial" w:hAnsi="Arial" w:cs="Arial"/>
                <w:color w:val="FF0000"/>
                <w:sz w:val="20"/>
                <w:szCs w:val="20"/>
                <w:u w:val="none"/>
              </w:rPr>
            </w:pPr>
            <w:r w:rsidRPr="002D46C2">
              <w:rPr>
                <w:rFonts w:ascii="Arial" w:hAnsi="Arial" w:cs="Arial"/>
                <w:b/>
                <w:color w:val="FF0000"/>
                <w:sz w:val="20"/>
                <w:szCs w:val="20"/>
                <w:u w:val="none"/>
              </w:rPr>
              <w:t>per le tombole</w:t>
            </w:r>
            <w:r w:rsidRPr="002D46C2">
              <w:rPr>
                <w:rFonts w:ascii="Arial" w:hAnsi="Arial" w:cs="Arial"/>
                <w:color w:val="FF0000"/>
                <w:sz w:val="20"/>
                <w:szCs w:val="20"/>
                <w:u w:val="none"/>
              </w:rPr>
              <w:t xml:space="preserve">: </w:t>
            </w:r>
          </w:p>
          <w:p w14:paraId="6DCA5131" w14:textId="77777777" w:rsidR="002D46C2" w:rsidRPr="002D46C2" w:rsidRDefault="002D46C2" w:rsidP="000406C1">
            <w:pPr>
              <w:pStyle w:val="provvr21"/>
              <w:numPr>
                <w:ilvl w:val="1"/>
                <w:numId w:val="26"/>
              </w:numPr>
              <w:tabs>
                <w:tab w:val="clear" w:pos="1440"/>
              </w:tabs>
              <w:spacing w:before="0" w:beforeAutospacing="0" w:after="120" w:afterAutospacing="0"/>
              <w:ind w:left="1024" w:right="318"/>
              <w:rPr>
                <w:rFonts w:ascii="Arial" w:hAnsi="Arial" w:cs="Arial"/>
                <w:color w:val="auto"/>
                <w:sz w:val="20"/>
                <w:szCs w:val="20"/>
                <w:u w:val="none"/>
              </w:rPr>
            </w:pPr>
            <w:r w:rsidRPr="002D46C2">
              <w:rPr>
                <w:rFonts w:ascii="Arial" w:hAnsi="Arial" w:cs="Arial"/>
                <w:color w:val="auto"/>
                <w:sz w:val="20"/>
                <w:szCs w:val="20"/>
                <w:u w:val="none"/>
              </w:rPr>
              <w:t xml:space="preserve">il regolamento con la specificazione dei premi e con l'indicazione del prezzo di ciascuna cartella; </w:t>
            </w:r>
          </w:p>
          <w:p w14:paraId="0599AEC1" w14:textId="77777777" w:rsidR="002D46C2" w:rsidRPr="002D46C2" w:rsidRDefault="002D46C2" w:rsidP="000406C1">
            <w:pPr>
              <w:pStyle w:val="provvr21"/>
              <w:numPr>
                <w:ilvl w:val="1"/>
                <w:numId w:val="26"/>
              </w:numPr>
              <w:tabs>
                <w:tab w:val="clear" w:pos="1440"/>
              </w:tabs>
              <w:spacing w:before="0" w:beforeAutospacing="0" w:after="120" w:afterAutospacing="0"/>
              <w:ind w:left="1024" w:right="318"/>
              <w:rPr>
                <w:rFonts w:ascii="Arial" w:hAnsi="Arial" w:cs="Arial"/>
                <w:color w:val="auto"/>
                <w:sz w:val="20"/>
                <w:szCs w:val="20"/>
                <w:u w:val="none"/>
              </w:rPr>
            </w:pPr>
            <w:r w:rsidRPr="002D46C2">
              <w:rPr>
                <w:rFonts w:ascii="Arial" w:hAnsi="Arial" w:cs="Arial"/>
                <w:color w:val="auto"/>
                <w:sz w:val="20"/>
                <w:szCs w:val="20"/>
                <w:u w:val="none"/>
              </w:rPr>
              <w:t xml:space="preserve">la documentazione comprovante l'avvenuto versamento della cauzione in misura pari al valore complessivo dei premi promessi, determinato in base al loro prezzo di acquisto o in mancanza al valore normale degli stessi. La cauzione è prestata a favore del comune ed ha scadenza non inferiore a tre mesi dalla data di estrazione. La cauzione è prestata mediante deposito in denaro o in titoli di Stato o garantiti dallo Stato, al valore di borsa, presso la Tesoreria provinciale o mediante fidejussione bancaria o assicurativa in bollo con autentica della firma del fideiussore. </w:t>
            </w:r>
          </w:p>
          <w:p w14:paraId="73D1CF98" w14:textId="77777777" w:rsidR="002D46C2" w:rsidRPr="002D46C2" w:rsidRDefault="002D46C2" w:rsidP="000406C1">
            <w:pPr>
              <w:pStyle w:val="provvr21"/>
              <w:numPr>
                <w:ilvl w:val="0"/>
                <w:numId w:val="27"/>
              </w:numPr>
              <w:tabs>
                <w:tab w:val="clear" w:pos="720"/>
              </w:tabs>
              <w:spacing w:before="240" w:beforeAutospacing="0" w:after="120" w:afterAutospacing="0"/>
              <w:ind w:left="599" w:right="318"/>
              <w:rPr>
                <w:rFonts w:ascii="Arial" w:hAnsi="Arial" w:cs="Arial"/>
                <w:color w:val="auto"/>
                <w:sz w:val="20"/>
                <w:szCs w:val="20"/>
                <w:u w:val="none"/>
              </w:rPr>
            </w:pPr>
            <w:r w:rsidRPr="000406C1">
              <w:rPr>
                <w:rFonts w:ascii="Arial" w:hAnsi="Arial" w:cs="Arial"/>
                <w:b/>
                <w:color w:val="FF0000"/>
                <w:sz w:val="20"/>
                <w:szCs w:val="20"/>
                <w:u w:val="none"/>
              </w:rPr>
              <w:lastRenderedPageBreak/>
              <w:t>per le pesche o banchi di beneficenza</w:t>
            </w:r>
            <w:r w:rsidRPr="000406C1">
              <w:rPr>
                <w:rFonts w:ascii="Arial" w:hAnsi="Arial" w:cs="Arial"/>
                <w:color w:val="FF0000"/>
                <w:sz w:val="20"/>
                <w:szCs w:val="20"/>
                <w:u w:val="none"/>
              </w:rPr>
              <w:t xml:space="preserve"> </w:t>
            </w:r>
            <w:r w:rsidRPr="002D46C2">
              <w:rPr>
                <w:rFonts w:ascii="Arial" w:hAnsi="Arial" w:cs="Arial"/>
                <w:color w:val="auto"/>
                <w:sz w:val="20"/>
                <w:szCs w:val="20"/>
                <w:u w:val="none"/>
              </w:rPr>
              <w:t xml:space="preserve">l'ente organizzatore indica nella comunicazione il numero dei biglietti che intende emettere ed il relativo prezzo. </w:t>
            </w:r>
          </w:p>
          <w:p w14:paraId="5315DDDF" w14:textId="77777777" w:rsidR="002D46C2" w:rsidRPr="000406C1" w:rsidRDefault="002D46C2" w:rsidP="000406C1">
            <w:pPr>
              <w:pStyle w:val="provvr01"/>
              <w:spacing w:before="0" w:beforeAutospacing="0" w:after="120" w:afterAutospacing="0"/>
              <w:ind w:left="599" w:right="318"/>
              <w:rPr>
                <w:rFonts w:ascii="Arial" w:hAnsi="Arial" w:cs="Arial"/>
                <w:color w:val="auto"/>
                <w:sz w:val="20"/>
                <w:szCs w:val="20"/>
                <w:u w:val="none"/>
              </w:rPr>
            </w:pPr>
            <w:r w:rsidRPr="000406C1">
              <w:rPr>
                <w:rFonts w:ascii="Arial" w:hAnsi="Arial" w:cs="Arial"/>
                <w:b/>
                <w:color w:val="FF0000"/>
                <w:sz w:val="20"/>
                <w:szCs w:val="20"/>
                <w:u w:val="none"/>
              </w:rPr>
              <w:t>Il Prefetto</w:t>
            </w:r>
            <w:r w:rsidRPr="002D46C2">
              <w:rPr>
                <w:rFonts w:ascii="Arial" w:hAnsi="Arial" w:cs="Arial"/>
                <w:sz w:val="20"/>
                <w:szCs w:val="20"/>
                <w:u w:val="none"/>
              </w:rPr>
              <w:t xml:space="preserve"> </w:t>
            </w:r>
            <w:r w:rsidRPr="000406C1">
              <w:rPr>
                <w:rFonts w:ascii="Arial" w:hAnsi="Arial" w:cs="Arial"/>
                <w:color w:val="auto"/>
                <w:sz w:val="20"/>
                <w:szCs w:val="20"/>
                <w:u w:val="none"/>
              </w:rPr>
              <w:t>può vietare lo svolgimento delle manifestazioni in mancanza delle condizioni previste dal regolamento o della necessità di ricorrere allo svolgimento della manifestazione per far fronte alle esigenze finanziarie dell'ente promotore, diverso dai partiti e movimenti politici.</w:t>
            </w:r>
          </w:p>
          <w:p w14:paraId="08EDA455" w14:textId="77777777" w:rsidR="002D46C2" w:rsidRPr="000406C1" w:rsidRDefault="002D46C2" w:rsidP="000406C1">
            <w:pPr>
              <w:pStyle w:val="provvr01"/>
              <w:spacing w:before="0" w:beforeAutospacing="0" w:after="120" w:afterAutospacing="0"/>
              <w:ind w:left="599" w:right="318"/>
              <w:rPr>
                <w:rFonts w:ascii="Arial" w:hAnsi="Arial" w:cs="Arial"/>
                <w:color w:val="auto"/>
                <w:sz w:val="20"/>
                <w:szCs w:val="20"/>
                <w:u w:val="none"/>
              </w:rPr>
            </w:pPr>
            <w:r w:rsidRPr="000406C1">
              <w:rPr>
                <w:rFonts w:ascii="Arial" w:hAnsi="Arial" w:cs="Arial"/>
                <w:b/>
                <w:color w:val="FF0000"/>
                <w:sz w:val="20"/>
                <w:szCs w:val="20"/>
                <w:u w:val="none"/>
              </w:rPr>
              <w:t>L'estrazione della lotteria e della tombola è pubblica</w:t>
            </w:r>
            <w:r w:rsidRPr="000406C1">
              <w:rPr>
                <w:rFonts w:ascii="Arial" w:hAnsi="Arial" w:cs="Arial"/>
                <w:color w:val="auto"/>
                <w:sz w:val="20"/>
                <w:szCs w:val="20"/>
                <w:u w:val="none"/>
              </w:rPr>
              <w:t xml:space="preserve">; le modalità della stessa sono portate a conoscenza del pubblico presso tutti i comuni interessati alla manifestazione. Nell'avviso sono indicati gli estremi della comunicazione fatta ai </w:t>
            </w:r>
            <w:proofErr w:type="gramStart"/>
            <w:r w:rsidRPr="000406C1">
              <w:rPr>
                <w:rFonts w:ascii="Arial" w:hAnsi="Arial" w:cs="Arial"/>
                <w:color w:val="auto"/>
                <w:sz w:val="20"/>
                <w:szCs w:val="20"/>
                <w:u w:val="none"/>
              </w:rPr>
              <w:t>predetti</w:t>
            </w:r>
            <w:proofErr w:type="gramEnd"/>
            <w:r w:rsidRPr="000406C1">
              <w:rPr>
                <w:rFonts w:ascii="Arial" w:hAnsi="Arial" w:cs="Arial"/>
                <w:color w:val="auto"/>
                <w:sz w:val="20"/>
                <w:szCs w:val="20"/>
                <w:u w:val="none"/>
              </w:rPr>
              <w:t xml:space="preserve"> organi, il programma della lotteria e della tombola, le finalità che ne motivano lo svolgimento nonché la serie e la numerazione dei biglietti e delle cartelle messe in vendita. </w:t>
            </w:r>
          </w:p>
          <w:p w14:paraId="1FC60F12" w14:textId="77777777" w:rsidR="002D46C2" w:rsidRPr="000406C1" w:rsidRDefault="002D46C2" w:rsidP="000406C1">
            <w:pPr>
              <w:pStyle w:val="provvr01"/>
              <w:spacing w:before="0" w:beforeAutospacing="0" w:after="120" w:afterAutospacing="0"/>
              <w:ind w:left="599" w:right="318"/>
              <w:rPr>
                <w:rFonts w:ascii="Arial" w:hAnsi="Arial" w:cs="Arial"/>
                <w:color w:val="auto"/>
                <w:sz w:val="20"/>
                <w:szCs w:val="20"/>
                <w:u w:val="none"/>
              </w:rPr>
            </w:pPr>
            <w:r w:rsidRPr="000406C1">
              <w:rPr>
                <w:rFonts w:ascii="Arial" w:hAnsi="Arial" w:cs="Arial"/>
                <w:color w:val="auto"/>
                <w:sz w:val="20"/>
                <w:szCs w:val="20"/>
                <w:u w:val="none"/>
              </w:rPr>
              <w:t>La serie e la numerazione progressiva dei biglietti della lotteria e delle cartelle della tombola devono riferirsi a quella risultante nella fattura di acquisto rilasciata dallo stampatore.</w:t>
            </w:r>
          </w:p>
          <w:p w14:paraId="0C3CF63E" w14:textId="77777777" w:rsidR="002D46C2" w:rsidRPr="000406C1" w:rsidRDefault="002D46C2" w:rsidP="000406C1">
            <w:pPr>
              <w:pStyle w:val="provvr01"/>
              <w:spacing w:before="0" w:beforeAutospacing="0" w:after="120" w:afterAutospacing="0"/>
              <w:ind w:left="599" w:right="318"/>
              <w:rPr>
                <w:rFonts w:ascii="Arial" w:hAnsi="Arial" w:cs="Arial"/>
                <w:color w:val="auto"/>
                <w:sz w:val="20"/>
                <w:szCs w:val="20"/>
                <w:u w:val="none"/>
              </w:rPr>
            </w:pPr>
            <w:r w:rsidRPr="000406C1">
              <w:rPr>
                <w:rFonts w:ascii="Arial" w:hAnsi="Arial" w:cs="Arial"/>
                <w:color w:val="auto"/>
                <w:sz w:val="20"/>
                <w:szCs w:val="20"/>
                <w:u w:val="none"/>
              </w:rPr>
              <w:t xml:space="preserve">Per le lotterie e per le tombole un rappresentante dell'ente organizzatore provvede prima dell'estrazione a ritirare tutti i registri, nonché i biglietti o le cartelle rimaste invendute e verifica che la serie e la numerazione dei registri corrispondano a quelle indicate nelle fatture d'acquisto. I biglietti e le cartelle non riconsegnati sono dichiarati nulli agli effetti del gioco; di tale circostanza si dà atto al pubblico prima dell'estrazione. </w:t>
            </w:r>
          </w:p>
          <w:p w14:paraId="19BF4DB1" w14:textId="77777777" w:rsidR="002D46C2" w:rsidRPr="000406C1" w:rsidRDefault="002D46C2" w:rsidP="000406C1">
            <w:pPr>
              <w:pStyle w:val="provvr01"/>
              <w:spacing w:before="0" w:beforeAutospacing="0" w:after="120" w:afterAutospacing="0"/>
              <w:ind w:left="599" w:right="318"/>
              <w:rPr>
                <w:rFonts w:ascii="Arial" w:hAnsi="Arial" w:cs="Arial"/>
                <w:color w:val="auto"/>
                <w:sz w:val="20"/>
                <w:szCs w:val="20"/>
                <w:u w:val="none"/>
              </w:rPr>
            </w:pPr>
            <w:r w:rsidRPr="000406C1">
              <w:rPr>
                <w:rFonts w:ascii="Arial" w:hAnsi="Arial" w:cs="Arial"/>
                <w:b/>
                <w:color w:val="FF0000"/>
                <w:sz w:val="20"/>
                <w:szCs w:val="20"/>
                <w:u w:val="none"/>
              </w:rPr>
              <w:t>L'estrazione è effettuata alla presenza del Responsabile SUAP o suo delegato</w:t>
            </w:r>
            <w:r w:rsidRPr="000406C1">
              <w:rPr>
                <w:rFonts w:ascii="Arial" w:hAnsi="Arial" w:cs="Arial"/>
                <w:color w:val="auto"/>
                <w:sz w:val="20"/>
                <w:szCs w:val="20"/>
                <w:u w:val="none"/>
              </w:rPr>
              <w:t>. Di dette operazioni è redatto processo verbale del quale una copia è inviata al Prefetto ed un'altra consegnata al Responsabile SUAP.</w:t>
            </w:r>
          </w:p>
          <w:p w14:paraId="5B14365F" w14:textId="77777777" w:rsidR="002D46C2" w:rsidRPr="000406C1" w:rsidRDefault="002D46C2" w:rsidP="000406C1">
            <w:pPr>
              <w:pStyle w:val="provvr01"/>
              <w:spacing w:before="0" w:beforeAutospacing="0" w:after="120" w:afterAutospacing="0"/>
              <w:ind w:left="599" w:right="318"/>
              <w:rPr>
                <w:rFonts w:ascii="Arial" w:hAnsi="Arial" w:cs="Arial"/>
                <w:color w:val="auto"/>
                <w:sz w:val="20"/>
                <w:szCs w:val="20"/>
                <w:u w:val="none"/>
              </w:rPr>
            </w:pPr>
            <w:r w:rsidRPr="000406C1">
              <w:rPr>
                <w:rFonts w:ascii="Arial" w:hAnsi="Arial" w:cs="Arial"/>
                <w:b/>
                <w:color w:val="FF0000"/>
                <w:sz w:val="20"/>
                <w:szCs w:val="20"/>
                <w:u w:val="none"/>
              </w:rPr>
              <w:t>Per le tombole</w:t>
            </w:r>
            <w:r w:rsidRPr="000406C1">
              <w:rPr>
                <w:rFonts w:ascii="Arial" w:hAnsi="Arial" w:cs="Arial"/>
                <w:color w:val="auto"/>
                <w:sz w:val="20"/>
                <w:szCs w:val="20"/>
                <w:u w:val="none"/>
              </w:rPr>
              <w:t xml:space="preserve">, entro trenta giorni dall'estrazione, l'ente organizzatore presenta al Responsabile SUAP la documentazione attestante l'avvenuta consegna dei premi ai vincitori. Detto incaricato, verificata la regolarità della documentazione prodotta, dispone l'immediato svincolo della cauzione. Il comune dispone l'incameramento della cauzione in caso di mancata consegna dei premi ai vincitori nel termine dei trenta giorni. </w:t>
            </w:r>
          </w:p>
          <w:p w14:paraId="3176C7C2" w14:textId="77777777" w:rsidR="002D46C2" w:rsidRPr="000406C1" w:rsidRDefault="002D46C2" w:rsidP="00682378">
            <w:pPr>
              <w:pStyle w:val="provvr01"/>
              <w:spacing w:before="0" w:beforeAutospacing="0" w:after="0" w:afterAutospacing="0"/>
              <w:ind w:left="599" w:right="318"/>
              <w:rPr>
                <w:rFonts w:ascii="Arial" w:hAnsi="Arial" w:cs="Arial"/>
                <w:color w:val="auto"/>
                <w:sz w:val="20"/>
                <w:szCs w:val="20"/>
                <w:u w:val="none"/>
              </w:rPr>
            </w:pPr>
            <w:r w:rsidRPr="000406C1">
              <w:rPr>
                <w:rFonts w:ascii="Arial" w:hAnsi="Arial" w:cs="Arial"/>
                <w:b/>
                <w:color w:val="FF0000"/>
                <w:sz w:val="20"/>
                <w:szCs w:val="20"/>
                <w:u w:val="none"/>
              </w:rPr>
              <w:t>Per le pesche o banchi di beneficenza</w:t>
            </w:r>
            <w:r w:rsidRPr="000406C1">
              <w:rPr>
                <w:rFonts w:ascii="Arial" w:hAnsi="Arial" w:cs="Arial"/>
                <w:color w:val="FF0000"/>
                <w:sz w:val="20"/>
                <w:szCs w:val="20"/>
                <w:u w:val="none"/>
              </w:rPr>
              <w:t xml:space="preserve"> </w:t>
            </w:r>
            <w:r w:rsidRPr="000406C1">
              <w:rPr>
                <w:rFonts w:ascii="Arial" w:hAnsi="Arial" w:cs="Arial"/>
                <w:color w:val="auto"/>
                <w:sz w:val="20"/>
                <w:szCs w:val="20"/>
                <w:u w:val="none"/>
              </w:rPr>
              <w:t xml:space="preserve">un responsabile dell'ente promotore controlla il numero dei biglietti venduti e procede, alla presenza del Responsabile SUAP o suo delegato, alla chiusura delle operazioni redigendo il relativo processo verbale del quale una copia è inviata al Prefetto e un'altra consegnata al Responsabile SUAP. </w:t>
            </w:r>
          </w:p>
          <w:p w14:paraId="423F6332" w14:textId="77777777" w:rsidR="00682378" w:rsidRDefault="00682378" w:rsidP="00682378">
            <w:pPr>
              <w:ind w:left="164" w:right="312"/>
              <w:jc w:val="both"/>
            </w:pPr>
          </w:p>
          <w:p w14:paraId="5EB03CA7" w14:textId="24F63245" w:rsidR="00682378" w:rsidRPr="00744B7C" w:rsidRDefault="00CF31C6" w:rsidP="00682378">
            <w:pPr>
              <w:ind w:left="164" w:right="312"/>
              <w:jc w:val="both"/>
              <w:rPr>
                <w:rFonts w:eastAsia="Times New Roman"/>
                <w:b/>
                <w:bCs/>
                <w:iCs/>
                <w:color w:val="0000FF"/>
                <w:sz w:val="22"/>
                <w:szCs w:val="22"/>
                <w:lang w:eastAsia="it-IT"/>
              </w:rPr>
            </w:pPr>
            <w:hyperlink r:id="rId9" w:history="1">
              <w:r w:rsidR="00682378" w:rsidRPr="001A1018">
                <w:rPr>
                  <w:rStyle w:val="Collegamentoipertestuale"/>
                  <w:rFonts w:eastAsia="Times New Roman"/>
                  <w:b/>
                  <w:bCs/>
                  <w:iCs/>
                  <w:lang w:eastAsia="it-IT"/>
                </w:rPr>
                <w:t>Codici ATE</w:t>
              </w:r>
              <w:r w:rsidR="00682378" w:rsidRPr="001A1018">
                <w:rPr>
                  <w:rStyle w:val="Collegamentoipertestuale"/>
                  <w:rFonts w:eastAsia="Times New Roman"/>
                  <w:b/>
                  <w:bCs/>
                  <w:iCs/>
                  <w:lang w:eastAsia="it-IT"/>
                </w:rPr>
                <w:t>C</w:t>
              </w:r>
              <w:r w:rsidR="00682378" w:rsidRPr="001A1018">
                <w:rPr>
                  <w:rStyle w:val="Collegamentoipertestuale"/>
                  <w:rFonts w:eastAsia="Times New Roman"/>
                  <w:b/>
                  <w:bCs/>
                  <w:iCs/>
                  <w:lang w:eastAsia="it-IT"/>
                </w:rPr>
                <w:t>O</w:t>
              </w:r>
            </w:hyperlink>
            <w:r w:rsidR="00682378" w:rsidRPr="0016697F">
              <w:rPr>
                <w:rFonts w:eastAsia="Times New Roman"/>
                <w:b/>
                <w:bCs/>
                <w:iCs/>
                <w:u w:val="none"/>
                <w:lang w:eastAsia="it-IT"/>
              </w:rPr>
              <w:t xml:space="preserve"> </w:t>
            </w:r>
            <w:r w:rsidR="00682378">
              <w:rPr>
                <w:b/>
                <w:color w:val="auto"/>
                <w:sz w:val="20"/>
                <w:szCs w:val="20"/>
                <w:u w:val="none"/>
              </w:rPr>
              <w:t>(Ateco da 90 a 93)</w:t>
            </w:r>
          </w:p>
          <w:p w14:paraId="2A13C875" w14:textId="77777777" w:rsidR="00682378" w:rsidRDefault="00682378" w:rsidP="00682378">
            <w:pPr>
              <w:ind w:left="164" w:right="312"/>
              <w:jc w:val="both"/>
              <w:rPr>
                <w:rStyle w:val="Collegamentoipertestuale"/>
                <w:b/>
                <w:bCs/>
                <w:color w:val="C00000"/>
                <w:u w:val="none"/>
              </w:rPr>
            </w:pPr>
          </w:p>
          <w:p w14:paraId="53FDF8A9" w14:textId="48CA2AAE" w:rsidR="00682378" w:rsidRPr="00A960D3" w:rsidRDefault="00682378" w:rsidP="00682378">
            <w:pPr>
              <w:spacing w:after="120"/>
              <w:ind w:left="164" w:right="312"/>
              <w:jc w:val="both"/>
              <w:rPr>
                <w:rStyle w:val="Collegamentoipertestuale"/>
                <w:b/>
                <w:bCs/>
              </w:rPr>
            </w:pPr>
            <w:r>
              <w:rPr>
                <w:rStyle w:val="Collegamentoipertestuale"/>
                <w:b/>
                <w:bCs/>
                <w:color w:val="C00000"/>
                <w:u w:val="none"/>
              </w:rPr>
              <w:fldChar w:fldCharType="begin"/>
            </w:r>
            <w:r w:rsidR="00064113">
              <w:rPr>
                <w:rStyle w:val="Collegamentoipertestuale"/>
                <w:b/>
                <w:bCs/>
                <w:color w:val="C00000"/>
                <w:u w:val="none"/>
              </w:rPr>
              <w:instrText>HYPERLINK "Definizioni/6PA%20Tariffe%20polizia%20amministrativa.docx"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w:t>
            </w:r>
            <w:r w:rsidRPr="00A960D3">
              <w:rPr>
                <w:rStyle w:val="Collegamentoipertestuale"/>
                <w:b/>
                <w:bCs/>
              </w:rPr>
              <w:t>t</w:t>
            </w:r>
            <w:r w:rsidRPr="00A960D3">
              <w:rPr>
                <w:rStyle w:val="Collegamentoipertestuale"/>
                <w:b/>
                <w:bCs/>
              </w:rPr>
              <w:t>ruttori</w:t>
            </w:r>
          </w:p>
          <w:p w14:paraId="51394229" w14:textId="77777777" w:rsidR="00682378" w:rsidRDefault="00682378" w:rsidP="00682378">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1CAC05C6" w14:textId="77777777" w:rsidR="00682378" w:rsidRPr="00042B0E" w:rsidRDefault="00682378" w:rsidP="00682378">
            <w:pPr>
              <w:ind w:left="164" w:right="312"/>
              <w:jc w:val="both"/>
              <w:rPr>
                <w:rStyle w:val="Collegamentoipertestuale"/>
                <w:b/>
                <w:bCs/>
              </w:rPr>
            </w:pPr>
          </w:p>
          <w:p w14:paraId="0E663F78" w14:textId="01BF304E" w:rsidR="00682378" w:rsidRPr="00FE239B" w:rsidRDefault="00CF31C6" w:rsidP="00682378">
            <w:pPr>
              <w:pStyle w:val="Paragrafoelenco"/>
              <w:spacing w:after="120"/>
              <w:ind w:left="164" w:right="312"/>
              <w:jc w:val="both"/>
              <w:rPr>
                <w:color w:val="0000FF"/>
              </w:rPr>
            </w:pPr>
            <w:hyperlink r:id="rId10" w:history="1">
              <w:r w:rsidR="00682378" w:rsidRPr="00FE239B">
                <w:rPr>
                  <w:rStyle w:val="Collegamentoipertestuale"/>
                  <w:b/>
                </w:rPr>
                <w:t>Te</w:t>
              </w:r>
              <w:r w:rsidR="00682378" w:rsidRPr="00FE239B">
                <w:rPr>
                  <w:rStyle w:val="Collegamentoipertestuale"/>
                  <w:b/>
                </w:rPr>
                <w:t>m</w:t>
              </w:r>
              <w:r w:rsidR="00682378" w:rsidRPr="00FE239B">
                <w:rPr>
                  <w:rStyle w:val="Collegamentoipertestuale"/>
                  <w:b/>
                </w:rPr>
                <w:t>pistica</w:t>
              </w:r>
            </w:hyperlink>
            <w:r w:rsidR="00682378" w:rsidRPr="00FE239B">
              <w:rPr>
                <w:b/>
                <w:color w:val="0000FF"/>
                <w:u w:val="none"/>
              </w:rPr>
              <w:t xml:space="preserve"> </w:t>
            </w:r>
          </w:p>
          <w:p w14:paraId="039D9D76" w14:textId="77777777" w:rsidR="00682378" w:rsidRDefault="00682378" w:rsidP="00682378">
            <w:pPr>
              <w:pStyle w:val="Rientrocorpodeltesto"/>
              <w:spacing w:after="0"/>
              <w:ind w:left="164"/>
              <w:jc w:val="both"/>
            </w:pPr>
          </w:p>
          <w:p w14:paraId="72CAE836" w14:textId="2E3CEF10" w:rsidR="006E28C9" w:rsidRPr="00945B26" w:rsidRDefault="00CF31C6" w:rsidP="006E28C9">
            <w:pPr>
              <w:pStyle w:val="Rientrocorpodeltesto"/>
              <w:spacing w:after="0"/>
              <w:ind w:left="164"/>
              <w:jc w:val="both"/>
              <w:rPr>
                <w:sz w:val="20"/>
                <w:szCs w:val="20"/>
              </w:rPr>
            </w:pPr>
            <w:hyperlink r:id="rId11" w:history="1">
              <w:r w:rsidR="00682378" w:rsidRPr="00B8144D">
                <w:rPr>
                  <w:rStyle w:val="Collegamentoipertestuale"/>
                  <w:b/>
                  <w:color w:val="C00000"/>
                  <w:u w:val="none"/>
                </w:rPr>
                <w:t>Normativa di riferimento</w:t>
              </w:r>
            </w:hyperlink>
            <w:r w:rsidR="00682378" w:rsidRPr="00B8144D">
              <w:rPr>
                <w:rStyle w:val="Collegamentoipertestuale"/>
                <w:b/>
                <w:color w:val="C00000"/>
                <w:u w:val="none"/>
              </w:rPr>
              <w:t>:</w:t>
            </w:r>
            <w:r w:rsidR="00682378">
              <w:rPr>
                <w:rStyle w:val="Collegamentoipertestuale"/>
                <w:b/>
                <w:color w:val="C00000"/>
                <w:sz w:val="24"/>
                <w:szCs w:val="24"/>
                <w:u w:val="none"/>
              </w:rPr>
              <w:t xml:space="preserve"> </w:t>
            </w:r>
            <w:r w:rsidR="00682378" w:rsidRPr="00945B26">
              <w:rPr>
                <w:rStyle w:val="Collegamentoipertestuale"/>
                <w:b/>
                <w:color w:val="C00000"/>
                <w:sz w:val="24"/>
                <w:szCs w:val="24"/>
                <w:u w:val="none"/>
              </w:rPr>
              <w:t xml:space="preserve"> </w:t>
            </w:r>
            <w:r w:rsidR="00682378">
              <w:rPr>
                <w:rStyle w:val="Collegamentoipertestuale"/>
                <w:b/>
                <w:color w:val="C00000"/>
                <w:sz w:val="24"/>
                <w:szCs w:val="24"/>
                <w:u w:val="none"/>
              </w:rPr>
              <w:t xml:space="preserve"> </w:t>
            </w:r>
            <w:hyperlink r:id="rId12" w:history="1">
              <w:r w:rsidR="006E28C9" w:rsidRPr="000B4866">
                <w:rPr>
                  <w:rStyle w:val="Collegamentoipertestuale"/>
                  <w:b/>
                  <w:sz w:val="20"/>
                  <w:szCs w:val="20"/>
                </w:rPr>
                <w:t>TU</w:t>
              </w:r>
              <w:r w:rsidR="006E28C9" w:rsidRPr="000B4866">
                <w:rPr>
                  <w:rStyle w:val="Collegamentoipertestuale"/>
                  <w:b/>
                  <w:sz w:val="20"/>
                  <w:szCs w:val="20"/>
                </w:rPr>
                <w:t>R</w:t>
              </w:r>
              <w:r w:rsidR="006E28C9" w:rsidRPr="000B4866">
                <w:rPr>
                  <w:rStyle w:val="Collegamentoipertestuale"/>
                  <w:b/>
                  <w:sz w:val="20"/>
                  <w:szCs w:val="20"/>
                </w:rPr>
                <w:t xml:space="preserve"> parte 5^</w:t>
              </w:r>
            </w:hyperlink>
            <w:r w:rsidR="006E28C9" w:rsidRPr="00945B26">
              <w:rPr>
                <w:color w:val="0000FF"/>
                <w:sz w:val="20"/>
                <w:szCs w:val="20"/>
              </w:rPr>
              <w:t xml:space="preserve"> </w:t>
            </w:r>
            <w:r w:rsidR="006E28C9" w:rsidRPr="00945B26">
              <w:rPr>
                <w:color w:val="auto"/>
                <w:sz w:val="20"/>
                <w:szCs w:val="20"/>
                <w:u w:val="none"/>
              </w:rPr>
              <w:t xml:space="preserve">- </w:t>
            </w:r>
            <w:r w:rsidR="006E28C9">
              <w:rPr>
                <w:color w:val="auto"/>
                <w:sz w:val="20"/>
                <w:szCs w:val="20"/>
                <w:u w:val="none"/>
              </w:rPr>
              <w:t>Polizia amministrativa</w:t>
            </w:r>
          </w:p>
          <w:p w14:paraId="3678E5F2" w14:textId="77777777" w:rsidR="006E28C9" w:rsidRDefault="006E28C9" w:rsidP="00682378">
            <w:pPr>
              <w:spacing w:after="120"/>
              <w:ind w:left="164"/>
              <w:rPr>
                <w:b/>
                <w:color w:val="C00000"/>
                <w:u w:val="none"/>
              </w:rPr>
            </w:pPr>
          </w:p>
          <w:p w14:paraId="350225C8" w14:textId="17DDE3CD" w:rsidR="00276654" w:rsidRPr="000406C1" w:rsidRDefault="00682378" w:rsidP="00682378">
            <w:pPr>
              <w:spacing w:after="120"/>
              <w:ind w:left="164"/>
              <w:rPr>
                <w:rStyle w:val="Collegamentoipertestuale"/>
                <w:sz w:val="20"/>
                <w:szCs w:val="20"/>
              </w:rPr>
            </w:pPr>
            <w:r w:rsidRPr="00B8144D">
              <w:rPr>
                <w:b/>
                <w:color w:val="C00000"/>
                <w:u w:val="none"/>
              </w:rPr>
              <w:t>Note:</w:t>
            </w:r>
            <w:r w:rsidRPr="00B8144D">
              <w:rPr>
                <w:color w:val="C00000"/>
              </w:rPr>
              <w:t xml:space="preserve"> </w:t>
            </w:r>
            <w:r w:rsidR="000406C1">
              <w:rPr>
                <w:b/>
                <w:color w:val="C00000"/>
                <w:sz w:val="24"/>
                <w:szCs w:val="24"/>
              </w:rPr>
              <w:fldChar w:fldCharType="begin"/>
            </w:r>
            <w:r w:rsidR="000406C1">
              <w:rPr>
                <w:b/>
                <w:color w:val="C00000"/>
                <w:sz w:val="24"/>
                <w:szCs w:val="24"/>
                <w:u w:val="none"/>
              </w:rPr>
              <w:instrText xml:space="preserve"> HYPERLINK "http://www.sviluppoeconomico.gov.it/images/stories/normativa/DPR_430_da_pubblicare_sett_2014.pdf" </w:instrText>
            </w:r>
            <w:r w:rsidR="000406C1">
              <w:rPr>
                <w:b/>
                <w:color w:val="C00000"/>
                <w:sz w:val="24"/>
                <w:szCs w:val="24"/>
              </w:rPr>
              <w:fldChar w:fldCharType="separate"/>
            </w:r>
            <w:r w:rsidR="000406C1" w:rsidRPr="000406C1">
              <w:rPr>
                <w:rStyle w:val="Collegamentoipertestuale"/>
                <w:b/>
                <w:sz w:val="20"/>
                <w:szCs w:val="20"/>
              </w:rPr>
              <w:t>DPR 430 del 2001</w:t>
            </w:r>
          </w:p>
          <w:p w14:paraId="2E703A0E" w14:textId="77777777" w:rsidR="00E60E0A" w:rsidRPr="0041512A" w:rsidRDefault="000406C1" w:rsidP="00E60E0A">
            <w:pPr>
              <w:pStyle w:val="Paragrafoelenco"/>
              <w:spacing w:after="120"/>
              <w:ind w:left="164" w:right="312"/>
              <w:jc w:val="both"/>
              <w:rPr>
                <w:b/>
                <w:sz w:val="24"/>
                <w:szCs w:val="24"/>
                <w:u w:val="none"/>
              </w:rPr>
            </w:pPr>
            <w:r>
              <w:rPr>
                <w:b/>
                <w:color w:val="C00000"/>
                <w:sz w:val="24"/>
                <w:szCs w:val="24"/>
              </w:rPr>
              <w:fldChar w:fldCharType="end"/>
            </w:r>
          </w:p>
        </w:tc>
      </w:tr>
    </w:tbl>
    <w:p w14:paraId="3DE7305E" w14:textId="77777777" w:rsidR="00342D58" w:rsidRDefault="00342D58">
      <w:pPr>
        <w:rPr>
          <w:b/>
        </w:rPr>
      </w:pPr>
    </w:p>
    <w:p w14:paraId="69374B88" w14:textId="77777777" w:rsidR="005E5880" w:rsidRPr="00342D58" w:rsidRDefault="005E5880">
      <w:pPr>
        <w:rPr>
          <w:b/>
        </w:rPr>
      </w:pPr>
    </w:p>
    <w:sectPr w:rsidR="005E5880"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03"/>
    <w:multiLevelType w:val="multilevel"/>
    <w:tmpl w:val="0EB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135F53FF"/>
    <w:multiLevelType w:val="multilevel"/>
    <w:tmpl w:val="319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93D9C"/>
    <w:multiLevelType w:val="hybridMultilevel"/>
    <w:tmpl w:val="7F880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93474E"/>
    <w:multiLevelType w:val="hybridMultilevel"/>
    <w:tmpl w:val="9EFEDC88"/>
    <w:lvl w:ilvl="0" w:tplc="04100001">
      <w:start w:val="1"/>
      <w:numFmt w:val="bullet"/>
      <w:lvlText w:val=""/>
      <w:lvlJc w:val="left"/>
      <w:pPr>
        <w:tabs>
          <w:tab w:val="num" w:pos="360"/>
        </w:tabs>
        <w:ind w:left="360" w:hanging="360"/>
      </w:pPr>
      <w:rPr>
        <w:rFonts w:ascii="Symbol" w:hAnsi="Symbol" w:hint="default"/>
      </w:rPr>
    </w:lvl>
    <w:lvl w:ilvl="1" w:tplc="02804C5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3D16CD"/>
    <w:multiLevelType w:val="multilevel"/>
    <w:tmpl w:val="DAC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D71C9"/>
    <w:multiLevelType w:val="multilevel"/>
    <w:tmpl w:val="080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349C"/>
    <w:multiLevelType w:val="multilevel"/>
    <w:tmpl w:val="F43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F0050"/>
    <w:multiLevelType w:val="multilevel"/>
    <w:tmpl w:val="40A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A04C1"/>
    <w:multiLevelType w:val="hybridMultilevel"/>
    <w:tmpl w:val="06A42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1"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2" w15:restartNumberingAfterBreak="0">
    <w:nsid w:val="36D721AF"/>
    <w:multiLevelType w:val="hybridMultilevel"/>
    <w:tmpl w:val="B7DE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8E517E"/>
    <w:multiLevelType w:val="hybridMultilevel"/>
    <w:tmpl w:val="E454F178"/>
    <w:lvl w:ilvl="0" w:tplc="46B876D6">
      <w:start w:val="1"/>
      <w:numFmt w:val="bullet"/>
      <w:lvlText w:val=""/>
      <w:lvlJc w:val="left"/>
      <w:pPr>
        <w:tabs>
          <w:tab w:val="num" w:pos="360"/>
        </w:tabs>
        <w:ind w:left="360" w:hanging="360"/>
      </w:pPr>
      <w:rPr>
        <w:rFonts w:ascii="Symbol" w:hAnsi="Symbol" w:hint="default"/>
      </w:rPr>
    </w:lvl>
    <w:lvl w:ilvl="1" w:tplc="77FC7D8C" w:tentative="1">
      <w:start w:val="1"/>
      <w:numFmt w:val="lowerLetter"/>
      <w:lvlText w:val="%2."/>
      <w:lvlJc w:val="left"/>
      <w:pPr>
        <w:tabs>
          <w:tab w:val="num" w:pos="1440"/>
        </w:tabs>
        <w:ind w:left="1440" w:hanging="360"/>
      </w:pPr>
    </w:lvl>
    <w:lvl w:ilvl="2" w:tplc="0228F8BA" w:tentative="1">
      <w:start w:val="1"/>
      <w:numFmt w:val="lowerRoman"/>
      <w:lvlText w:val="%3."/>
      <w:lvlJc w:val="right"/>
      <w:pPr>
        <w:tabs>
          <w:tab w:val="num" w:pos="2160"/>
        </w:tabs>
        <w:ind w:left="2160" w:hanging="180"/>
      </w:pPr>
    </w:lvl>
    <w:lvl w:ilvl="3" w:tplc="7D2A211C" w:tentative="1">
      <w:start w:val="1"/>
      <w:numFmt w:val="decimal"/>
      <w:lvlText w:val="%4."/>
      <w:lvlJc w:val="left"/>
      <w:pPr>
        <w:tabs>
          <w:tab w:val="num" w:pos="2880"/>
        </w:tabs>
        <w:ind w:left="2880" w:hanging="360"/>
      </w:pPr>
    </w:lvl>
    <w:lvl w:ilvl="4" w:tplc="85D01AAA" w:tentative="1">
      <w:start w:val="1"/>
      <w:numFmt w:val="lowerLetter"/>
      <w:lvlText w:val="%5."/>
      <w:lvlJc w:val="left"/>
      <w:pPr>
        <w:tabs>
          <w:tab w:val="num" w:pos="3600"/>
        </w:tabs>
        <w:ind w:left="3600" w:hanging="360"/>
      </w:pPr>
    </w:lvl>
    <w:lvl w:ilvl="5" w:tplc="3ED841C8" w:tentative="1">
      <w:start w:val="1"/>
      <w:numFmt w:val="lowerRoman"/>
      <w:lvlText w:val="%6."/>
      <w:lvlJc w:val="right"/>
      <w:pPr>
        <w:tabs>
          <w:tab w:val="num" w:pos="4320"/>
        </w:tabs>
        <w:ind w:left="4320" w:hanging="180"/>
      </w:pPr>
    </w:lvl>
    <w:lvl w:ilvl="6" w:tplc="11CE8FEC" w:tentative="1">
      <w:start w:val="1"/>
      <w:numFmt w:val="decimal"/>
      <w:lvlText w:val="%7."/>
      <w:lvlJc w:val="left"/>
      <w:pPr>
        <w:tabs>
          <w:tab w:val="num" w:pos="5040"/>
        </w:tabs>
        <w:ind w:left="5040" w:hanging="360"/>
      </w:pPr>
    </w:lvl>
    <w:lvl w:ilvl="7" w:tplc="D0700760" w:tentative="1">
      <w:start w:val="1"/>
      <w:numFmt w:val="lowerLetter"/>
      <w:lvlText w:val="%8."/>
      <w:lvlJc w:val="left"/>
      <w:pPr>
        <w:tabs>
          <w:tab w:val="num" w:pos="5760"/>
        </w:tabs>
        <w:ind w:left="5760" w:hanging="360"/>
      </w:pPr>
    </w:lvl>
    <w:lvl w:ilvl="8" w:tplc="44746A82" w:tentative="1">
      <w:start w:val="1"/>
      <w:numFmt w:val="lowerRoman"/>
      <w:lvlText w:val="%9."/>
      <w:lvlJc w:val="right"/>
      <w:pPr>
        <w:tabs>
          <w:tab w:val="num" w:pos="6480"/>
        </w:tabs>
        <w:ind w:left="6480" w:hanging="180"/>
      </w:pPr>
    </w:lvl>
  </w:abstractNum>
  <w:abstractNum w:abstractNumId="14" w15:restartNumberingAfterBreak="0">
    <w:nsid w:val="51614A4D"/>
    <w:multiLevelType w:val="hybridMultilevel"/>
    <w:tmpl w:val="5E0C5B36"/>
    <w:lvl w:ilvl="0" w:tplc="04100001">
      <w:start w:val="1"/>
      <w:numFmt w:val="bullet"/>
      <w:lvlText w:val=""/>
      <w:lvlJc w:val="left"/>
      <w:pPr>
        <w:ind w:left="644" w:hanging="360"/>
      </w:pPr>
      <w:rPr>
        <w:rFonts w:ascii="Symbol" w:hAnsi="Symbol" w:hint="default"/>
        <w:b/>
        <w:color w:val="C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1B95D8A"/>
    <w:multiLevelType w:val="multilevel"/>
    <w:tmpl w:val="636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F61AE5"/>
    <w:multiLevelType w:val="multilevel"/>
    <w:tmpl w:val="D3F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AAE"/>
    <w:multiLevelType w:val="multilevel"/>
    <w:tmpl w:val="5F1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B4EEE"/>
    <w:multiLevelType w:val="hybridMultilevel"/>
    <w:tmpl w:val="E454F178"/>
    <w:lvl w:ilvl="0" w:tplc="67D4C43A">
      <w:start w:val="1"/>
      <w:numFmt w:val="bullet"/>
      <w:lvlText w:val=""/>
      <w:lvlJc w:val="left"/>
      <w:pPr>
        <w:tabs>
          <w:tab w:val="num" w:pos="360"/>
        </w:tabs>
        <w:ind w:left="360" w:hanging="360"/>
      </w:pPr>
      <w:rPr>
        <w:rFonts w:ascii="Symbol" w:hAnsi="Symbol" w:hint="default"/>
      </w:rPr>
    </w:lvl>
    <w:lvl w:ilvl="1" w:tplc="9B080668" w:tentative="1">
      <w:start w:val="1"/>
      <w:numFmt w:val="lowerLetter"/>
      <w:lvlText w:val="%2."/>
      <w:lvlJc w:val="left"/>
      <w:pPr>
        <w:tabs>
          <w:tab w:val="num" w:pos="1440"/>
        </w:tabs>
        <w:ind w:left="1440" w:hanging="360"/>
      </w:pPr>
    </w:lvl>
    <w:lvl w:ilvl="2" w:tplc="43849F58" w:tentative="1">
      <w:start w:val="1"/>
      <w:numFmt w:val="lowerRoman"/>
      <w:lvlText w:val="%3."/>
      <w:lvlJc w:val="right"/>
      <w:pPr>
        <w:tabs>
          <w:tab w:val="num" w:pos="2160"/>
        </w:tabs>
        <w:ind w:left="2160" w:hanging="180"/>
      </w:pPr>
    </w:lvl>
    <w:lvl w:ilvl="3" w:tplc="70DC1582" w:tentative="1">
      <w:start w:val="1"/>
      <w:numFmt w:val="decimal"/>
      <w:lvlText w:val="%4."/>
      <w:lvlJc w:val="left"/>
      <w:pPr>
        <w:tabs>
          <w:tab w:val="num" w:pos="2880"/>
        </w:tabs>
        <w:ind w:left="2880" w:hanging="360"/>
      </w:pPr>
    </w:lvl>
    <w:lvl w:ilvl="4" w:tplc="A45000B0" w:tentative="1">
      <w:start w:val="1"/>
      <w:numFmt w:val="lowerLetter"/>
      <w:lvlText w:val="%5."/>
      <w:lvlJc w:val="left"/>
      <w:pPr>
        <w:tabs>
          <w:tab w:val="num" w:pos="3600"/>
        </w:tabs>
        <w:ind w:left="3600" w:hanging="360"/>
      </w:pPr>
    </w:lvl>
    <w:lvl w:ilvl="5" w:tplc="B0CE6562" w:tentative="1">
      <w:start w:val="1"/>
      <w:numFmt w:val="lowerRoman"/>
      <w:lvlText w:val="%6."/>
      <w:lvlJc w:val="right"/>
      <w:pPr>
        <w:tabs>
          <w:tab w:val="num" w:pos="4320"/>
        </w:tabs>
        <w:ind w:left="4320" w:hanging="180"/>
      </w:pPr>
    </w:lvl>
    <w:lvl w:ilvl="6" w:tplc="C188F15E" w:tentative="1">
      <w:start w:val="1"/>
      <w:numFmt w:val="decimal"/>
      <w:lvlText w:val="%7."/>
      <w:lvlJc w:val="left"/>
      <w:pPr>
        <w:tabs>
          <w:tab w:val="num" w:pos="5040"/>
        </w:tabs>
        <w:ind w:left="5040" w:hanging="360"/>
      </w:pPr>
    </w:lvl>
    <w:lvl w:ilvl="7" w:tplc="4970C3E2" w:tentative="1">
      <w:start w:val="1"/>
      <w:numFmt w:val="lowerLetter"/>
      <w:lvlText w:val="%8."/>
      <w:lvlJc w:val="left"/>
      <w:pPr>
        <w:tabs>
          <w:tab w:val="num" w:pos="5760"/>
        </w:tabs>
        <w:ind w:left="5760" w:hanging="360"/>
      </w:pPr>
    </w:lvl>
    <w:lvl w:ilvl="8" w:tplc="71B46482" w:tentative="1">
      <w:start w:val="1"/>
      <w:numFmt w:val="lowerRoman"/>
      <w:lvlText w:val="%9."/>
      <w:lvlJc w:val="right"/>
      <w:pPr>
        <w:tabs>
          <w:tab w:val="num" w:pos="6480"/>
        </w:tabs>
        <w:ind w:left="6480" w:hanging="180"/>
      </w:pPr>
    </w:lvl>
  </w:abstractNum>
  <w:abstractNum w:abstractNumId="22" w15:restartNumberingAfterBreak="0">
    <w:nsid w:val="7627064C"/>
    <w:multiLevelType w:val="hybridMultilevel"/>
    <w:tmpl w:val="80EAF6D8"/>
    <w:lvl w:ilvl="0" w:tplc="713698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4" w15:restartNumberingAfterBreak="0">
    <w:nsid w:val="77BF1E80"/>
    <w:multiLevelType w:val="hybridMultilevel"/>
    <w:tmpl w:val="A08A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DF5367"/>
    <w:multiLevelType w:val="hybridMultilevel"/>
    <w:tmpl w:val="BA76D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3640AF"/>
    <w:multiLevelType w:val="hybridMultilevel"/>
    <w:tmpl w:val="99802A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1"/>
  </w:num>
  <w:num w:numId="4">
    <w:abstractNumId w:val="23"/>
  </w:num>
  <w:num w:numId="5">
    <w:abstractNumId w:val="1"/>
  </w:num>
  <w:num w:numId="6">
    <w:abstractNumId w:val="20"/>
  </w:num>
  <w:num w:numId="7">
    <w:abstractNumId w:val="10"/>
  </w:num>
  <w:num w:numId="8">
    <w:abstractNumId w:val="6"/>
  </w:num>
  <w:num w:numId="9">
    <w:abstractNumId w:val="8"/>
  </w:num>
  <w:num w:numId="10">
    <w:abstractNumId w:val="2"/>
  </w:num>
  <w:num w:numId="11">
    <w:abstractNumId w:val="12"/>
  </w:num>
  <w:num w:numId="12">
    <w:abstractNumId w:val="7"/>
  </w:num>
  <w:num w:numId="13">
    <w:abstractNumId w:val="0"/>
  </w:num>
  <w:num w:numId="14">
    <w:abstractNumId w:val="21"/>
  </w:num>
  <w:num w:numId="15">
    <w:abstractNumId w:val="13"/>
  </w:num>
  <w:num w:numId="16">
    <w:abstractNumId w:val="9"/>
  </w:num>
  <w:num w:numId="17">
    <w:abstractNumId w:val="25"/>
  </w:num>
  <w:num w:numId="18">
    <w:abstractNumId w:val="15"/>
  </w:num>
  <w:num w:numId="19">
    <w:abstractNumId w:val="5"/>
  </w:num>
  <w:num w:numId="20">
    <w:abstractNumId w:val="17"/>
  </w:num>
  <w:num w:numId="21">
    <w:abstractNumId w:val="18"/>
  </w:num>
  <w:num w:numId="22">
    <w:abstractNumId w:val="22"/>
  </w:num>
  <w:num w:numId="23">
    <w:abstractNumId w:val="3"/>
  </w:num>
  <w:num w:numId="24">
    <w:abstractNumId w:val="24"/>
  </w:num>
  <w:num w:numId="25">
    <w:abstractNumId w:val="14"/>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406C1"/>
    <w:rsid w:val="00043FA9"/>
    <w:rsid w:val="00064113"/>
    <w:rsid w:val="00071B68"/>
    <w:rsid w:val="000B4866"/>
    <w:rsid w:val="000E4B7E"/>
    <w:rsid w:val="000F3ADF"/>
    <w:rsid w:val="00112873"/>
    <w:rsid w:val="00117F1E"/>
    <w:rsid w:val="0012159E"/>
    <w:rsid w:val="001A49E1"/>
    <w:rsid w:val="001B4E77"/>
    <w:rsid w:val="001D73AE"/>
    <w:rsid w:val="002003E5"/>
    <w:rsid w:val="00215D52"/>
    <w:rsid w:val="00220E5F"/>
    <w:rsid w:val="002210DE"/>
    <w:rsid w:val="0023487B"/>
    <w:rsid w:val="00237016"/>
    <w:rsid w:val="002706D8"/>
    <w:rsid w:val="00276654"/>
    <w:rsid w:val="00281114"/>
    <w:rsid w:val="002A4619"/>
    <w:rsid w:val="002A5D7C"/>
    <w:rsid w:val="002A6285"/>
    <w:rsid w:val="002A77E8"/>
    <w:rsid w:val="002B375D"/>
    <w:rsid w:val="002B6C24"/>
    <w:rsid w:val="002D46C2"/>
    <w:rsid w:val="00301B95"/>
    <w:rsid w:val="0031523A"/>
    <w:rsid w:val="00334930"/>
    <w:rsid w:val="00342D58"/>
    <w:rsid w:val="003514C2"/>
    <w:rsid w:val="003A148C"/>
    <w:rsid w:val="003A4A32"/>
    <w:rsid w:val="003C5FBA"/>
    <w:rsid w:val="003F41B0"/>
    <w:rsid w:val="0041512A"/>
    <w:rsid w:val="004257E1"/>
    <w:rsid w:val="0044342C"/>
    <w:rsid w:val="00451991"/>
    <w:rsid w:val="0045341A"/>
    <w:rsid w:val="004704B5"/>
    <w:rsid w:val="00493BD0"/>
    <w:rsid w:val="004A3C01"/>
    <w:rsid w:val="004B3C68"/>
    <w:rsid w:val="004B7DB4"/>
    <w:rsid w:val="004D75FA"/>
    <w:rsid w:val="004E3766"/>
    <w:rsid w:val="004F3CF0"/>
    <w:rsid w:val="004F59C5"/>
    <w:rsid w:val="004F667B"/>
    <w:rsid w:val="00506E58"/>
    <w:rsid w:val="0052347D"/>
    <w:rsid w:val="00536FD7"/>
    <w:rsid w:val="00587F68"/>
    <w:rsid w:val="005930C1"/>
    <w:rsid w:val="005A769A"/>
    <w:rsid w:val="005C01FD"/>
    <w:rsid w:val="005C3771"/>
    <w:rsid w:val="005C68B2"/>
    <w:rsid w:val="005C720B"/>
    <w:rsid w:val="005E5880"/>
    <w:rsid w:val="005F1CCE"/>
    <w:rsid w:val="005F21E3"/>
    <w:rsid w:val="0060265B"/>
    <w:rsid w:val="00621A5C"/>
    <w:rsid w:val="00621E64"/>
    <w:rsid w:val="006362F9"/>
    <w:rsid w:val="00640813"/>
    <w:rsid w:val="006410BE"/>
    <w:rsid w:val="00651349"/>
    <w:rsid w:val="00651378"/>
    <w:rsid w:val="00677516"/>
    <w:rsid w:val="00682378"/>
    <w:rsid w:val="00692827"/>
    <w:rsid w:val="00694BB5"/>
    <w:rsid w:val="00697CB5"/>
    <w:rsid w:val="006B29D2"/>
    <w:rsid w:val="006B2EE0"/>
    <w:rsid w:val="006B3A13"/>
    <w:rsid w:val="006C7151"/>
    <w:rsid w:val="006E08B5"/>
    <w:rsid w:val="006E28C9"/>
    <w:rsid w:val="006E2A43"/>
    <w:rsid w:val="006F05DD"/>
    <w:rsid w:val="006F5C4D"/>
    <w:rsid w:val="00705665"/>
    <w:rsid w:val="00714EBD"/>
    <w:rsid w:val="007361DA"/>
    <w:rsid w:val="00737DA2"/>
    <w:rsid w:val="00746376"/>
    <w:rsid w:val="00757EC8"/>
    <w:rsid w:val="00763AB7"/>
    <w:rsid w:val="00764B7D"/>
    <w:rsid w:val="00774441"/>
    <w:rsid w:val="007944EB"/>
    <w:rsid w:val="007D29FA"/>
    <w:rsid w:val="0080569E"/>
    <w:rsid w:val="0082478D"/>
    <w:rsid w:val="008665DB"/>
    <w:rsid w:val="00871E89"/>
    <w:rsid w:val="00872D0F"/>
    <w:rsid w:val="008756FA"/>
    <w:rsid w:val="00875A8F"/>
    <w:rsid w:val="00897F79"/>
    <w:rsid w:val="008F77D3"/>
    <w:rsid w:val="009025A0"/>
    <w:rsid w:val="0090382A"/>
    <w:rsid w:val="00932258"/>
    <w:rsid w:val="00945B26"/>
    <w:rsid w:val="0097516F"/>
    <w:rsid w:val="00977047"/>
    <w:rsid w:val="009A4645"/>
    <w:rsid w:val="009A476D"/>
    <w:rsid w:val="009B07B1"/>
    <w:rsid w:val="009C0F33"/>
    <w:rsid w:val="009D00A5"/>
    <w:rsid w:val="009F62D7"/>
    <w:rsid w:val="009F7FCC"/>
    <w:rsid w:val="00A06B50"/>
    <w:rsid w:val="00A123BB"/>
    <w:rsid w:val="00A5440D"/>
    <w:rsid w:val="00A602F5"/>
    <w:rsid w:val="00A81D46"/>
    <w:rsid w:val="00A84893"/>
    <w:rsid w:val="00B0731C"/>
    <w:rsid w:val="00B66F7C"/>
    <w:rsid w:val="00B74DCB"/>
    <w:rsid w:val="00BB2167"/>
    <w:rsid w:val="00BC019B"/>
    <w:rsid w:val="00BF42AE"/>
    <w:rsid w:val="00BF5221"/>
    <w:rsid w:val="00BF67A8"/>
    <w:rsid w:val="00C459E8"/>
    <w:rsid w:val="00C75D34"/>
    <w:rsid w:val="00C9233E"/>
    <w:rsid w:val="00C92D90"/>
    <w:rsid w:val="00C95280"/>
    <w:rsid w:val="00CB4FB4"/>
    <w:rsid w:val="00CC1A8C"/>
    <w:rsid w:val="00CD592E"/>
    <w:rsid w:val="00CD7A44"/>
    <w:rsid w:val="00CE16FB"/>
    <w:rsid w:val="00CF2C56"/>
    <w:rsid w:val="00CF31C6"/>
    <w:rsid w:val="00CF51E9"/>
    <w:rsid w:val="00D02A9B"/>
    <w:rsid w:val="00D16B5E"/>
    <w:rsid w:val="00D46D3D"/>
    <w:rsid w:val="00D5625E"/>
    <w:rsid w:val="00D96248"/>
    <w:rsid w:val="00DC5DC3"/>
    <w:rsid w:val="00DD18A1"/>
    <w:rsid w:val="00DD2BE3"/>
    <w:rsid w:val="00DD6833"/>
    <w:rsid w:val="00DF0435"/>
    <w:rsid w:val="00E25843"/>
    <w:rsid w:val="00E336F7"/>
    <w:rsid w:val="00E44D6C"/>
    <w:rsid w:val="00E60E0A"/>
    <w:rsid w:val="00E6197C"/>
    <w:rsid w:val="00E61C9E"/>
    <w:rsid w:val="00E660BB"/>
    <w:rsid w:val="00E96861"/>
    <w:rsid w:val="00EB1403"/>
    <w:rsid w:val="00EC548A"/>
    <w:rsid w:val="00ED5B66"/>
    <w:rsid w:val="00EE371A"/>
    <w:rsid w:val="00F07CBF"/>
    <w:rsid w:val="00F2381A"/>
    <w:rsid w:val="00F312D0"/>
    <w:rsid w:val="00F33A15"/>
    <w:rsid w:val="00F724EE"/>
    <w:rsid w:val="00FD5D50"/>
    <w:rsid w:val="00FD7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C75E"/>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table" w:customStyle="1" w:styleId="TableGrid">
    <w:name w:val="TableGrid"/>
    <w:rsid w:val="005E5880"/>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scelta-evidenziata1">
    <w:name w:val="scelta-evidenziata1"/>
    <w:basedOn w:val="Carpredefinitoparagrafo"/>
    <w:rsid w:val="00CF2C56"/>
    <w:rPr>
      <w:b/>
      <w:bCs/>
      <w:color w:val="006699"/>
      <w:sz w:val="20"/>
      <w:szCs w:val="20"/>
    </w:rPr>
  </w:style>
  <w:style w:type="paragraph" w:styleId="Testonormale">
    <w:name w:val="Plain Text"/>
    <w:basedOn w:val="Normale"/>
    <w:link w:val="TestonormaleCarattere"/>
    <w:rsid w:val="004B3C68"/>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4B3C68"/>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121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1">
    <w:name w:val="provv_r01"/>
    <w:basedOn w:val="Normale"/>
    <w:rsid w:val="00CD7A44"/>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customStyle="1" w:styleId="provvnumart1">
    <w:name w:val="provv_numart1"/>
    <w:rsid w:val="00C95280"/>
    <w:rPr>
      <w:rFonts w:ascii="Verdana" w:hAnsi="Verdana" w:hint="default"/>
      <w:b/>
      <w:bCs/>
    </w:rPr>
  </w:style>
  <w:style w:type="paragraph" w:customStyle="1" w:styleId="ui-treenode-label1">
    <w:name w:val="ui-treenode-label1"/>
    <w:basedOn w:val="Normale"/>
    <w:rsid w:val="006B2EE0"/>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provvr11">
    <w:name w:val="provv_r11"/>
    <w:basedOn w:val="Normale"/>
    <w:rsid w:val="002D46C2"/>
    <w:pPr>
      <w:spacing w:before="100" w:beforeAutospacing="1" w:after="100" w:afterAutospacing="1" w:line="240" w:lineRule="auto"/>
      <w:ind w:firstLine="400"/>
      <w:jc w:val="both"/>
    </w:pPr>
    <w:rPr>
      <w:rFonts w:ascii="Verdana" w:eastAsia="Times New Roman" w:hAnsi="Verdana" w:cs="Times New Roman"/>
      <w:sz w:val="24"/>
      <w:szCs w:val="24"/>
      <w:lang w:eastAsia="it-IT"/>
    </w:rPr>
  </w:style>
  <w:style w:type="paragraph" w:customStyle="1" w:styleId="provvr21">
    <w:name w:val="provv_r21"/>
    <w:basedOn w:val="Normale"/>
    <w:rsid w:val="002D46C2"/>
    <w:pPr>
      <w:spacing w:before="100" w:beforeAutospacing="1" w:after="100" w:afterAutospacing="1" w:line="240" w:lineRule="auto"/>
      <w:ind w:firstLine="600"/>
      <w:jc w:val="both"/>
    </w:pPr>
    <w:rPr>
      <w:rFonts w:ascii="Verdana" w:eastAsia="Times New Roman" w:hAnsi="Verdan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sainungiorno.gov.it/web/guest/comune?codCatastale=L5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resainungiorno.gov.it/web/guest/comune?codCatastale=B137" TargetMode="External"/><Relationship Id="rId12" Type="http://schemas.openxmlformats.org/officeDocument/2006/relationships/hyperlink" Target="../../TUR/Parte%205%5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odulistica/16PA%20-%20Modulo-comunicazione-sorte-locali%20Lecco.pdf" TargetMode="External"/><Relationship Id="rId11" Type="http://schemas.openxmlformats.org/officeDocument/2006/relationships/hyperlink" Target="file:///C:\Walter\sportello%20unico\Progetto%20PUC\PUC\5%20Procedimenti\Definizioni\Riferimenti%20normativi%20e%20di%20controllo.docx" TargetMode="External"/><Relationship Id="rId5" Type="http://schemas.openxmlformats.org/officeDocument/2006/relationships/hyperlink" Target="file:///C:\Walter\Comuni\Valgreghentino\Progetto%20PUC\CONTATTI\CONTATTI_LC.docx" TargetMode="External"/><Relationship Id="rId10" Type="http://schemas.openxmlformats.org/officeDocument/2006/relationships/hyperlink" Target="Definizioni/7PA%20Tempistica.pdf" TargetMode="External"/><Relationship Id="rId4" Type="http://schemas.openxmlformats.org/officeDocument/2006/relationships/webSettings" Target="webSettings.xml"/><Relationship Id="rId9" Type="http://schemas.openxmlformats.org/officeDocument/2006/relationships/hyperlink" Target="../../ATECO/Ateco%20Arte_Sport.xlsx"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1180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22</cp:revision>
  <dcterms:created xsi:type="dcterms:W3CDTF">2018-07-29T19:49:00Z</dcterms:created>
  <dcterms:modified xsi:type="dcterms:W3CDTF">2021-06-15T16:26:00Z</dcterms:modified>
</cp:coreProperties>
</file>